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52"/>
        <w:gridCol w:w="992"/>
        <w:gridCol w:w="436"/>
        <w:gridCol w:w="698"/>
        <w:gridCol w:w="992"/>
        <w:gridCol w:w="992"/>
        <w:gridCol w:w="142"/>
        <w:gridCol w:w="851"/>
        <w:gridCol w:w="262"/>
        <w:gridCol w:w="1124"/>
        <w:gridCol w:w="1023"/>
        <w:gridCol w:w="1134"/>
      </w:tblGrid>
      <w:tr w:rsidR="00F814C8" w:rsidRPr="009A2977" w14:paraId="3E9AE93B" w14:textId="77777777" w:rsidTr="007436DA">
        <w:tc>
          <w:tcPr>
            <w:tcW w:w="1555" w:type="dxa"/>
            <w:gridSpan w:val="2"/>
            <w:shd w:val="clear" w:color="auto" w:fill="auto"/>
            <w:vAlign w:val="center"/>
          </w:tcPr>
          <w:p w14:paraId="3E9AE937" w14:textId="77777777" w:rsidR="00F814C8" w:rsidRPr="009A2977" w:rsidRDefault="00F814C8" w:rsidP="000B5C3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A2977"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89" w:type="dxa"/>
            <w:gridSpan w:val="9"/>
            <w:shd w:val="clear" w:color="auto" w:fill="D9D9D9"/>
            <w:vAlign w:val="center"/>
          </w:tcPr>
          <w:p w14:paraId="3E9AE938" w14:textId="568914D2" w:rsidR="00F814C8" w:rsidRPr="007436DA" w:rsidRDefault="00552DB9" w:rsidP="00AB5996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7436DA">
              <w:rPr>
                <w:rFonts w:ascii="Arial" w:hAnsi="Arial" w:cs="Arial"/>
                <w:b/>
                <w:caps/>
              </w:rPr>
              <w:t>QUÍMICA NA ESCOLA II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E9AE939" w14:textId="77777777" w:rsidR="00F814C8" w:rsidRPr="007436DA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36DA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E9AE93A" w14:textId="6CD71C67" w:rsidR="00F814C8" w:rsidRPr="007436DA" w:rsidRDefault="004E0BEE" w:rsidP="00141C85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7436DA">
              <w:rPr>
                <w:rFonts w:ascii="Arial" w:hAnsi="Arial" w:cs="Arial"/>
                <w:b/>
              </w:rPr>
              <w:t>IQ</w:t>
            </w:r>
            <w:r w:rsidR="00552DB9" w:rsidRPr="007436DA">
              <w:rPr>
                <w:rFonts w:ascii="Arial" w:hAnsi="Arial" w:cs="Arial"/>
                <w:b/>
              </w:rPr>
              <w:t>W</w:t>
            </w:r>
            <w:r w:rsidR="007436DA">
              <w:rPr>
                <w:rFonts w:ascii="Arial" w:hAnsi="Arial" w:cs="Arial"/>
                <w:b/>
              </w:rPr>
              <w:t>Y12</w:t>
            </w:r>
          </w:p>
        </w:tc>
      </w:tr>
      <w:tr w:rsidR="000B5C37" w:rsidRPr="009A2977" w14:paraId="3E9AE945" w14:textId="77777777" w:rsidTr="007436DA">
        <w:tc>
          <w:tcPr>
            <w:tcW w:w="1555" w:type="dxa"/>
            <w:gridSpan w:val="2"/>
            <w:shd w:val="clear" w:color="auto" w:fill="auto"/>
            <w:vAlign w:val="center"/>
          </w:tcPr>
          <w:p w14:paraId="3E9AE93C" w14:textId="77777777" w:rsidR="000B5C37" w:rsidRPr="009A2977" w:rsidRDefault="000B5C3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3D" w14:textId="77777777" w:rsidR="000B5C37" w:rsidRPr="007436DA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3F" w14:textId="2739A90F" w:rsidR="000B5C37" w:rsidRPr="007436DA" w:rsidRDefault="007436DA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B5C37" w:rsidRPr="007436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5C37" w:rsidRPr="007436DA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40" w14:textId="77777777" w:rsidR="000B5C37" w:rsidRPr="007436DA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15D3" w14:textId="7BA2CFAC" w:rsidR="000B5C37" w:rsidRPr="007436DA" w:rsidRDefault="00AB419B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B5C37" w:rsidRPr="007436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5C37" w:rsidRPr="007436DA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C397C" w14:textId="56640FF3" w:rsidR="000B5C37" w:rsidRPr="007436DA" w:rsidRDefault="004A5AA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42" w14:textId="6A176D6D" w:rsidR="000B5C37" w:rsidRPr="007436DA" w:rsidRDefault="007436DA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A5AA7" w:rsidRPr="007436DA">
              <w:rPr>
                <w:rFonts w:ascii="Arial" w:hAnsi="Arial" w:cs="Arial"/>
                <w:sz w:val="20"/>
                <w:szCs w:val="20"/>
              </w:rPr>
              <w:t xml:space="preserve"> hora</w:t>
            </w:r>
          </w:p>
        </w:tc>
        <w:tc>
          <w:tcPr>
            <w:tcW w:w="102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AE943" w14:textId="1A5C3760" w:rsidR="000B5C37" w:rsidRPr="007436DA" w:rsidRDefault="000B5C37" w:rsidP="004A5A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 w:rsidR="00F60A1E" w:rsidRPr="007436DA">
              <w:rPr>
                <w:rFonts w:ascii="Arial" w:hAnsi="Arial" w:cs="Arial"/>
                <w:sz w:val="20"/>
                <w:szCs w:val="20"/>
              </w:rPr>
              <w:t>C</w:t>
            </w:r>
            <w:r w:rsidRPr="007436DA">
              <w:rPr>
                <w:rFonts w:ascii="Arial" w:hAnsi="Arial" w:cs="Arial"/>
                <w:sz w:val="20"/>
                <w:szCs w:val="20"/>
              </w:rPr>
              <w:t>réditos: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9AE944" w14:textId="334ADCCA" w:rsidR="000B5C37" w:rsidRPr="007436DA" w:rsidRDefault="007436DA" w:rsidP="00AB59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B5C37" w:rsidRPr="009A2977" w14:paraId="3E9AE94F" w14:textId="77777777" w:rsidTr="007436DA">
        <w:tc>
          <w:tcPr>
            <w:tcW w:w="1555" w:type="dxa"/>
            <w:gridSpan w:val="2"/>
            <w:shd w:val="clear" w:color="auto" w:fill="auto"/>
            <w:vAlign w:val="center"/>
          </w:tcPr>
          <w:p w14:paraId="3E9AE946" w14:textId="77777777" w:rsidR="000B5C37" w:rsidRPr="009A2977" w:rsidRDefault="000B5C3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47" w14:textId="77777777" w:rsidR="000B5C37" w:rsidRPr="007436DA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49" w14:textId="28CDF611" w:rsidR="000B5C37" w:rsidRPr="007436DA" w:rsidRDefault="007436DA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0B5C37" w:rsidRPr="007436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5C37" w:rsidRPr="007436DA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0B5C37" w:rsidRPr="007436DA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4A" w14:textId="77777777" w:rsidR="000B5C37" w:rsidRPr="007436DA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6781" w14:textId="3005E0D0" w:rsidR="000B5C37" w:rsidRPr="007436DA" w:rsidRDefault="000B5C3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Pr="007436DA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194E7" w14:textId="0FB6EDE6" w:rsidR="000B5C37" w:rsidRPr="007436DA" w:rsidRDefault="004A5AA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4C" w14:textId="1A704328" w:rsidR="000B5C37" w:rsidRPr="007436DA" w:rsidRDefault="007436DA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4A5AA7" w:rsidRPr="007436DA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AE94D" w14:textId="77777777" w:rsidR="000B5C37" w:rsidRPr="007436DA" w:rsidRDefault="000B5C37" w:rsidP="00AB599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E94E" w14:textId="77777777" w:rsidR="000B5C37" w:rsidRPr="007436DA" w:rsidRDefault="000B5C37" w:rsidP="00AB599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1F94" w:rsidRPr="009A2977" w14:paraId="3E9AE956" w14:textId="77777777" w:rsidTr="007436DA"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E950" w14:textId="77777777" w:rsidR="009A2977" w:rsidRPr="009A2977" w:rsidRDefault="009A2977" w:rsidP="00AB59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1" w14:textId="6CA728EE" w:rsidR="009A2977" w:rsidRPr="007436DA" w:rsidRDefault="00552DB9" w:rsidP="0023044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7436DA">
              <w:rPr>
                <w:rFonts w:ascii="Arial" w:hAnsi="Arial" w:cs="Arial"/>
                <w:b/>
                <w:sz w:val="20"/>
                <w:szCs w:val="20"/>
              </w:rPr>
              <w:t>Licenciatura em Química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2" w14:textId="77777777" w:rsidR="009A2977" w:rsidRPr="007436DA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3" w14:textId="2C14298C" w:rsidR="009A2977" w:rsidRPr="007436DA" w:rsidRDefault="00740D05" w:rsidP="005B3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436DA"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4" w14:textId="77777777" w:rsidR="009A2977" w:rsidRPr="007436DA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5" w14:textId="0EEE16FC" w:rsidR="009A2977" w:rsidRPr="007436DA" w:rsidRDefault="007436DA" w:rsidP="00AB59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0497E" w:rsidRPr="007436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</w:p>
        </w:tc>
      </w:tr>
      <w:tr w:rsidR="00921F94" w:rsidRPr="009A2977" w14:paraId="3E9AE95D" w14:textId="77777777" w:rsidTr="007436DA"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7" w14:textId="77777777" w:rsidR="009A2977" w:rsidRPr="009A2977" w:rsidRDefault="009A2977" w:rsidP="00AB599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8" w14:textId="4A557306" w:rsidR="009A2977" w:rsidRPr="007436DA" w:rsidRDefault="00B0497E" w:rsidP="005C254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7436DA">
              <w:rPr>
                <w:rFonts w:ascii="Arial" w:hAnsi="Arial" w:cs="Arial"/>
                <w:b/>
                <w:sz w:val="20"/>
                <w:szCs w:val="20"/>
              </w:rPr>
              <w:t>Licenciatura</w:t>
            </w:r>
            <w:r w:rsidR="00552DB9" w:rsidRPr="007436DA">
              <w:rPr>
                <w:rFonts w:ascii="Arial" w:hAnsi="Arial" w:cs="Arial"/>
                <w:b/>
                <w:sz w:val="20"/>
                <w:szCs w:val="20"/>
              </w:rPr>
              <w:t xml:space="preserve"> em Química EAD</w:t>
            </w:r>
            <w:r w:rsidR="00AB589E" w:rsidRPr="007436D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52DB9" w:rsidRPr="007436DA">
              <w:rPr>
                <w:rFonts w:ascii="Arial" w:hAnsi="Arial" w:cs="Arial"/>
                <w:b/>
                <w:sz w:val="20"/>
                <w:szCs w:val="20"/>
              </w:rPr>
              <w:t>Licenciaturas em áreas afins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9" w14:textId="77777777" w:rsidR="009A2977" w:rsidRPr="007436DA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A" w14:textId="744367CD" w:rsidR="009A2977" w:rsidRPr="007436DA" w:rsidRDefault="00B0497E" w:rsidP="00731BC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436DA">
              <w:rPr>
                <w:rFonts w:ascii="Arial" w:hAnsi="Arial" w:cs="Arial"/>
                <w:b/>
                <w:sz w:val="20"/>
                <w:szCs w:val="20"/>
              </w:rPr>
              <w:t>Eletiva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B" w14:textId="77777777" w:rsidR="009A2977" w:rsidRPr="007436DA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C" w14:textId="6528A29B" w:rsidR="009A2977" w:rsidRPr="007436DA" w:rsidRDefault="007436DA" w:rsidP="00AB59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814C8" w:rsidRPr="009A2977" w14:paraId="3E9AE960" w14:textId="77777777" w:rsidTr="007436DA"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AE95E" w14:textId="77777777" w:rsidR="00F814C8" w:rsidRPr="007436DA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436DA"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 w:rsidRPr="007436DA"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 w:rsidRPr="007436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F" w14:textId="65178A92" w:rsidR="00F814C8" w:rsidRPr="007436DA" w:rsidRDefault="007436DA" w:rsidP="00E80B4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IQWY11</w:t>
            </w:r>
          </w:p>
        </w:tc>
      </w:tr>
      <w:tr w:rsidR="00F814C8" w:rsidRPr="009A2977" w14:paraId="3E9AE963" w14:textId="77777777" w:rsidTr="007436DA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AE961" w14:textId="77777777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62" w14:textId="1FBEA720" w:rsidR="00F814C8" w:rsidRPr="007436DA" w:rsidRDefault="007436DA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lang w:val="en-US"/>
              </w:rPr>
              <w:t>Não</w:t>
            </w:r>
            <w:proofErr w:type="spellEnd"/>
            <w:proofErr w:type="gramEnd"/>
            <w:r>
              <w:rPr>
                <w:rFonts w:ascii="Arial" w:hAnsi="Arial"/>
                <w:sz w:val="18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aplica</w:t>
            </w:r>
            <w:proofErr w:type="spellEnd"/>
          </w:p>
        </w:tc>
      </w:tr>
    </w:tbl>
    <w:p w14:paraId="3E9AE964" w14:textId="77777777" w:rsidR="00F814C8" w:rsidRPr="009A2977" w:rsidRDefault="00F814C8" w:rsidP="00F814C8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8280"/>
      </w:tblGrid>
      <w:tr w:rsidR="00F814C8" w:rsidRPr="009A2977" w14:paraId="3E9AE966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E965" w14:textId="4914161B" w:rsidR="00F814C8" w:rsidRPr="009A2977" w:rsidRDefault="00F814C8" w:rsidP="0067544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Objetivos:</w:t>
            </w:r>
            <w:r w:rsidR="00ED7D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4C8" w:rsidRPr="009A2977" w14:paraId="3E9AE968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E967" w14:textId="19A0D622" w:rsidR="0027111B" w:rsidRPr="00476506" w:rsidRDefault="0027111B" w:rsidP="0027111B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3D2484" w:rsidRPr="003D2484">
              <w:rPr>
                <w:sz w:val="20"/>
                <w:szCs w:val="20"/>
              </w:rPr>
              <w:t xml:space="preserve">streitar teoria e práxis durante a formação inicial de Professores de Química a partir de reflexões </w:t>
            </w:r>
            <w:r w:rsidR="00E81A97">
              <w:rPr>
                <w:sz w:val="20"/>
                <w:szCs w:val="20"/>
              </w:rPr>
              <w:t>epistemológicas</w:t>
            </w:r>
            <w:r w:rsidR="00816C3E">
              <w:rPr>
                <w:sz w:val="20"/>
                <w:szCs w:val="20"/>
              </w:rPr>
              <w:t xml:space="preserve"> e</w:t>
            </w:r>
            <w:r w:rsidR="00E81A97">
              <w:rPr>
                <w:sz w:val="20"/>
                <w:szCs w:val="20"/>
              </w:rPr>
              <w:t xml:space="preserve"> ontológicas </w:t>
            </w:r>
            <w:r w:rsidR="003D2484" w:rsidRPr="003D2484">
              <w:rPr>
                <w:sz w:val="20"/>
                <w:szCs w:val="20"/>
              </w:rPr>
              <w:t xml:space="preserve">emancipadoras que contemplem a natureza caleidoscópica </w:t>
            </w:r>
            <w:proofErr w:type="gramStart"/>
            <w:r w:rsidR="003D2484" w:rsidRPr="003D2484">
              <w:rPr>
                <w:sz w:val="20"/>
                <w:szCs w:val="20"/>
              </w:rPr>
              <w:t xml:space="preserve">das </w:t>
            </w:r>
            <w:r w:rsidR="00E81A97">
              <w:rPr>
                <w:sz w:val="20"/>
                <w:szCs w:val="20"/>
              </w:rPr>
              <w:t>experiência</w:t>
            </w:r>
            <w:proofErr w:type="gramEnd"/>
            <w:r w:rsidR="00E81A97">
              <w:rPr>
                <w:sz w:val="20"/>
                <w:szCs w:val="20"/>
              </w:rPr>
              <w:t>(</w:t>
            </w:r>
            <w:r w:rsidR="003D2484" w:rsidRPr="003D2484">
              <w:rPr>
                <w:sz w:val="20"/>
                <w:szCs w:val="20"/>
              </w:rPr>
              <w:t>ações</w:t>
            </w:r>
            <w:r w:rsidR="00E81A97">
              <w:rPr>
                <w:sz w:val="20"/>
                <w:szCs w:val="20"/>
              </w:rPr>
              <w:t>)</w:t>
            </w:r>
            <w:r w:rsidR="003D2484" w:rsidRPr="003D2484">
              <w:rPr>
                <w:sz w:val="20"/>
                <w:szCs w:val="20"/>
              </w:rPr>
              <w:t xml:space="preserve"> extensionistas, para além de toda e qualquer fronteira institucional</w:t>
            </w:r>
            <w:r w:rsidR="00E81A97">
              <w:rPr>
                <w:sz w:val="20"/>
                <w:szCs w:val="20"/>
              </w:rPr>
              <w:t xml:space="preserve"> de ensino</w:t>
            </w:r>
            <w:r>
              <w:rPr>
                <w:sz w:val="20"/>
                <w:szCs w:val="20"/>
              </w:rPr>
              <w:t xml:space="preserve">. </w:t>
            </w:r>
            <w:r w:rsidR="009B5AE9" w:rsidRPr="001C5D91">
              <w:rPr>
                <w:sz w:val="20"/>
                <w:szCs w:val="20"/>
              </w:rPr>
              <w:t xml:space="preserve">Pretende-se resgatar aspectos relevantes da </w:t>
            </w:r>
            <w:r w:rsidR="001C5D91">
              <w:rPr>
                <w:sz w:val="20"/>
                <w:szCs w:val="20"/>
              </w:rPr>
              <w:t xml:space="preserve">tríade ensino-pesquisa-extensão para o </w:t>
            </w:r>
            <w:r w:rsidR="005C2762">
              <w:rPr>
                <w:sz w:val="20"/>
                <w:szCs w:val="20"/>
              </w:rPr>
              <w:t>d</w:t>
            </w:r>
            <w:r w:rsidR="001C5D91">
              <w:rPr>
                <w:sz w:val="20"/>
                <w:szCs w:val="20"/>
              </w:rPr>
              <w:t xml:space="preserve">evir </w:t>
            </w:r>
            <w:proofErr w:type="spellStart"/>
            <w:r w:rsidR="005C2762">
              <w:rPr>
                <w:sz w:val="20"/>
                <w:szCs w:val="20"/>
              </w:rPr>
              <w:t>docente~discente~aprendente</w:t>
            </w:r>
            <w:proofErr w:type="spellEnd"/>
            <w:r w:rsidR="009B5AE9" w:rsidRPr="001C5D91">
              <w:rPr>
                <w:sz w:val="20"/>
                <w:szCs w:val="20"/>
              </w:rPr>
              <w:t xml:space="preserve">, </w:t>
            </w:r>
            <w:r w:rsidRPr="003D2484">
              <w:rPr>
                <w:sz w:val="20"/>
                <w:szCs w:val="20"/>
              </w:rPr>
              <w:t xml:space="preserve">a partir da sistematização de </w:t>
            </w:r>
            <w:r w:rsidR="00816C3E">
              <w:rPr>
                <w:sz w:val="20"/>
                <w:szCs w:val="20"/>
              </w:rPr>
              <w:t xml:space="preserve">metodologias </w:t>
            </w:r>
            <w:r w:rsidRPr="003D2484">
              <w:rPr>
                <w:sz w:val="20"/>
                <w:szCs w:val="20"/>
              </w:rPr>
              <w:t xml:space="preserve">capazes de promover a “indissociabilidade” </w:t>
            </w:r>
            <w:r w:rsidR="00E81A97">
              <w:rPr>
                <w:sz w:val="20"/>
                <w:szCs w:val="20"/>
              </w:rPr>
              <w:t>desta</w:t>
            </w:r>
            <w:r w:rsidRPr="003D2484">
              <w:rPr>
                <w:sz w:val="20"/>
                <w:szCs w:val="20"/>
              </w:rPr>
              <w:t>, enfatizando sua natureza transformadora.</w:t>
            </w:r>
            <w:r>
              <w:rPr>
                <w:sz w:val="20"/>
                <w:szCs w:val="20"/>
              </w:rPr>
              <w:t xml:space="preserve"> </w:t>
            </w:r>
            <w:r w:rsidR="00816C3E">
              <w:rPr>
                <w:sz w:val="20"/>
                <w:szCs w:val="20"/>
              </w:rPr>
              <w:t>Assim,</w:t>
            </w:r>
            <w:r>
              <w:rPr>
                <w:sz w:val="20"/>
                <w:szCs w:val="20"/>
              </w:rPr>
              <w:t xml:space="preserve"> serão realizados </w:t>
            </w:r>
            <w:r w:rsidRPr="001C5D91">
              <w:rPr>
                <w:sz w:val="20"/>
                <w:szCs w:val="20"/>
              </w:rPr>
              <w:t>estudos sobre identificação, caracterização e intensidade d</w:t>
            </w:r>
            <w:r w:rsidR="00816C3E">
              <w:rPr>
                <w:sz w:val="20"/>
                <w:szCs w:val="20"/>
              </w:rPr>
              <w:t>essas triangulações</w:t>
            </w:r>
            <w:r>
              <w:rPr>
                <w:sz w:val="20"/>
                <w:szCs w:val="20"/>
              </w:rPr>
              <w:t xml:space="preserve"> e </w:t>
            </w:r>
            <w:r w:rsidRPr="001C5D91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aprendizagem de </w:t>
            </w:r>
            <w:r w:rsidRPr="001C5D91">
              <w:rPr>
                <w:sz w:val="20"/>
                <w:szCs w:val="20"/>
              </w:rPr>
              <w:t>química, seu processo de produção de conhecimento e sua relação com processos de pertencimento e exclusões sociais.</w:t>
            </w:r>
            <w:r>
              <w:rPr>
                <w:sz w:val="20"/>
                <w:szCs w:val="20"/>
              </w:rPr>
              <w:t xml:space="preserve"> </w:t>
            </w:r>
            <w:r w:rsidR="00816C3E">
              <w:rPr>
                <w:sz w:val="20"/>
                <w:szCs w:val="20"/>
              </w:rPr>
              <w:t>Para tal</w:t>
            </w:r>
            <w:r>
              <w:rPr>
                <w:sz w:val="20"/>
                <w:szCs w:val="20"/>
              </w:rPr>
              <w:t xml:space="preserve"> </w:t>
            </w:r>
            <w:r w:rsidR="009B5AE9" w:rsidRPr="009B5AE9">
              <w:rPr>
                <w:sz w:val="20"/>
                <w:szCs w:val="20"/>
              </w:rPr>
              <w:t>serão realizadas rodas de conversas direcionadas</w:t>
            </w:r>
            <w:r w:rsidR="00816C3E">
              <w:rPr>
                <w:sz w:val="20"/>
                <w:szCs w:val="20"/>
              </w:rPr>
              <w:t xml:space="preserve"> pela bibliografia complementar</w:t>
            </w:r>
            <w:r w:rsidR="009B5AE9" w:rsidRPr="009B5AE9">
              <w:rPr>
                <w:sz w:val="20"/>
                <w:szCs w:val="20"/>
              </w:rPr>
              <w:t xml:space="preserve">, seminários </w:t>
            </w:r>
            <w:r w:rsidR="00816C3E">
              <w:rPr>
                <w:sz w:val="20"/>
                <w:szCs w:val="20"/>
              </w:rPr>
              <w:t xml:space="preserve">discentes </w:t>
            </w:r>
            <w:r w:rsidR="009B5AE9" w:rsidRPr="009B5AE9">
              <w:rPr>
                <w:sz w:val="20"/>
                <w:szCs w:val="20"/>
              </w:rPr>
              <w:t xml:space="preserve">e </w:t>
            </w:r>
            <w:r w:rsidR="00816C3E">
              <w:rPr>
                <w:sz w:val="20"/>
                <w:szCs w:val="20"/>
              </w:rPr>
              <w:t>reflexões pós implementação de cada momento</w:t>
            </w:r>
            <w:r w:rsidR="009B5AE9" w:rsidRPr="009B5AE9">
              <w:rPr>
                <w:sz w:val="20"/>
                <w:szCs w:val="20"/>
              </w:rPr>
              <w:t>, além de trabalho de campo, incluindo preparo d</w:t>
            </w:r>
            <w:r w:rsidR="00E81A97">
              <w:rPr>
                <w:sz w:val="20"/>
                <w:szCs w:val="20"/>
              </w:rPr>
              <w:t>o</w:t>
            </w:r>
            <w:r w:rsidR="009B5AE9" w:rsidRPr="009B5AE9">
              <w:rPr>
                <w:sz w:val="20"/>
                <w:szCs w:val="20"/>
              </w:rPr>
              <w:t xml:space="preserve"> portifólio</w:t>
            </w:r>
            <w:r w:rsidR="00E81A97">
              <w:rPr>
                <w:sz w:val="20"/>
                <w:szCs w:val="20"/>
              </w:rPr>
              <w:t xml:space="preserve"> </w:t>
            </w:r>
            <w:proofErr w:type="gramStart"/>
            <w:r w:rsidR="00E81A97">
              <w:rPr>
                <w:sz w:val="20"/>
                <w:szCs w:val="20"/>
              </w:rPr>
              <w:t>d</w:t>
            </w:r>
            <w:r w:rsidR="00816C3E">
              <w:rPr>
                <w:sz w:val="20"/>
                <w:szCs w:val="20"/>
              </w:rPr>
              <w:t>o mesmo</w:t>
            </w:r>
            <w:proofErr w:type="gramEnd"/>
            <w:r w:rsidR="009B5AE9" w:rsidRPr="009B5AE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Também s</w:t>
            </w:r>
            <w:r w:rsidR="009B5AE9" w:rsidRPr="009B5AE9">
              <w:rPr>
                <w:sz w:val="20"/>
                <w:szCs w:val="20"/>
              </w:rPr>
              <w:t xml:space="preserve">erão realizadas visitas às escolas parceiras ao Complexo de Formação de Professores com os alunos, bem como a elaboração (pelos Professores em Formação Inicial) de oficinas ofertadas no campus para alunos do Ensino Médio, </w:t>
            </w:r>
            <w:r w:rsidR="001C052C">
              <w:rPr>
                <w:sz w:val="20"/>
                <w:szCs w:val="20"/>
              </w:rPr>
              <w:t xml:space="preserve">de </w:t>
            </w:r>
            <w:r w:rsidR="009B5AE9" w:rsidRPr="009B5AE9">
              <w:rPr>
                <w:sz w:val="20"/>
                <w:szCs w:val="20"/>
              </w:rPr>
              <w:t>maneira a complementar os conhecimentos aprendidos em sala de aula e laboratório.</w:t>
            </w:r>
          </w:p>
        </w:tc>
      </w:tr>
      <w:tr w:rsidR="00F814C8" w:rsidRPr="009A2977" w14:paraId="3E9AE96B" w14:textId="77777777" w:rsidTr="00AB599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69" w14:textId="77777777" w:rsidR="00F814C8" w:rsidRPr="009A2977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6A" w14:textId="77777777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6D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E96C" w14:textId="4A5893B3" w:rsidR="00B860AE" w:rsidRPr="0025231A" w:rsidRDefault="00F814C8" w:rsidP="0025231A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D7DF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Ementa:</w:t>
            </w:r>
            <w:r w:rsidR="002248F1" w:rsidRPr="00940CC5">
              <w:t xml:space="preserve"> </w:t>
            </w:r>
          </w:p>
        </w:tc>
      </w:tr>
      <w:tr w:rsidR="00F814C8" w:rsidRPr="009A2977" w14:paraId="3E9AE96F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E96E" w14:textId="42F2925C" w:rsidR="00F814C8" w:rsidRPr="00326CEB" w:rsidRDefault="00000A03" w:rsidP="00326CEB">
            <w:pPr>
              <w:pStyle w:val="Recuodecorpodetex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Breve resgate sobre o </w:t>
            </w:r>
            <w:r w:rsidRPr="00000A03">
              <w:rPr>
                <w:rFonts w:ascii="Arial" w:hAnsi="Arial" w:cs="Arial"/>
                <w:sz w:val="20"/>
              </w:rPr>
              <w:t>processo de escolarização no Brasil (XIX-XX)</w:t>
            </w:r>
            <w:r>
              <w:rPr>
                <w:rFonts w:ascii="Arial" w:hAnsi="Arial" w:cs="Arial"/>
                <w:sz w:val="20"/>
              </w:rPr>
              <w:t>. Alguns</w:t>
            </w:r>
            <w:r w:rsidRPr="00000A03">
              <w:rPr>
                <w:rFonts w:ascii="Arial" w:hAnsi="Arial" w:cs="Arial"/>
                <w:sz w:val="20"/>
              </w:rPr>
              <w:t xml:space="preserve"> impactos </w:t>
            </w:r>
            <w:r>
              <w:rPr>
                <w:rFonts w:ascii="Arial" w:hAnsi="Arial" w:cs="Arial"/>
                <w:sz w:val="20"/>
              </w:rPr>
              <w:t xml:space="preserve">de teóricos </w:t>
            </w:r>
            <w:r w:rsidRPr="00000A03">
              <w:rPr>
                <w:rFonts w:ascii="Arial" w:hAnsi="Arial" w:cs="Arial"/>
                <w:sz w:val="20"/>
              </w:rPr>
              <w:t>da educação nas políticas públicas</w:t>
            </w:r>
            <w:r w:rsidR="00326CEB">
              <w:rPr>
                <w:rFonts w:ascii="Arial" w:hAnsi="Arial" w:cs="Arial"/>
                <w:sz w:val="20"/>
              </w:rPr>
              <w:t xml:space="preserve"> educacionais. </w:t>
            </w:r>
            <w:r w:rsidR="00326CEB" w:rsidRPr="00326CEB">
              <w:rPr>
                <w:rFonts w:ascii="Arial" w:hAnsi="Arial" w:cs="Arial"/>
                <w:sz w:val="20"/>
              </w:rPr>
              <w:t>Debates contemporâneos em educação</w:t>
            </w:r>
            <w:r w:rsidR="00326CEB">
              <w:rPr>
                <w:rFonts w:ascii="Arial" w:hAnsi="Arial" w:cs="Arial"/>
                <w:sz w:val="20"/>
              </w:rPr>
              <w:t xml:space="preserve">. Extensão como </w:t>
            </w:r>
            <w:r w:rsidR="00326CEB" w:rsidRPr="00326CEB">
              <w:rPr>
                <w:rFonts w:ascii="Arial" w:hAnsi="Arial" w:cs="Arial"/>
                <w:i/>
                <w:iCs/>
                <w:sz w:val="20"/>
              </w:rPr>
              <w:t>lócus</w:t>
            </w:r>
            <w:r w:rsidR="00326CEB">
              <w:rPr>
                <w:rFonts w:ascii="Arial" w:hAnsi="Arial" w:cs="Arial"/>
                <w:sz w:val="20"/>
              </w:rPr>
              <w:t xml:space="preserve"> de resistência. Transdisciplinaridade no ensino de química para a equidade. Emprego de temas tabus no processo de aprendizagem de química.</w:t>
            </w:r>
          </w:p>
        </w:tc>
      </w:tr>
      <w:tr w:rsidR="00F814C8" w:rsidRPr="009A2977" w14:paraId="3E9AE972" w14:textId="77777777" w:rsidTr="00AB599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0" w14:textId="77777777" w:rsidR="00F814C8" w:rsidRPr="009A2977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1" w14:textId="77777777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74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E973" w14:textId="77777777" w:rsidR="00F814C8" w:rsidRPr="009A2977" w:rsidRDefault="00F814C8" w:rsidP="00AB59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Programa Analítico:</w:t>
            </w:r>
          </w:p>
        </w:tc>
      </w:tr>
      <w:tr w:rsidR="00F814C8" w:rsidRPr="009A2977" w14:paraId="3E9AE97C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1A3E" w14:textId="443F3BA7" w:rsidR="00986F0E" w:rsidRDefault="00986F0E" w:rsidP="00986F0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F0E">
              <w:rPr>
                <w:rFonts w:ascii="Arial" w:hAnsi="Arial" w:cs="Arial"/>
                <w:b/>
                <w:sz w:val="20"/>
                <w:szCs w:val="20"/>
              </w:rPr>
              <w:t>Programa Teórico</w:t>
            </w:r>
          </w:p>
          <w:p w14:paraId="2B9AB084" w14:textId="7257DA6E" w:rsidR="00986F0E" w:rsidRPr="00DC751E" w:rsidRDefault="00590209" w:rsidP="00D5641F">
            <w:pPr>
              <w:numPr>
                <w:ilvl w:val="0"/>
                <w:numId w:val="16"/>
              </w:numPr>
              <w:spacing w:before="120" w:after="120"/>
              <w:ind w:left="782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51E">
              <w:rPr>
                <w:rFonts w:ascii="Arial" w:hAnsi="Arial" w:cs="Arial"/>
                <w:sz w:val="20"/>
                <w:szCs w:val="20"/>
                <w:u w:val="single"/>
              </w:rPr>
              <w:t>Processo de escolarização no Brasil (XIX-XX)</w:t>
            </w:r>
            <w:r w:rsidRPr="00DC751E">
              <w:rPr>
                <w:rFonts w:ascii="Arial" w:hAnsi="Arial" w:cs="Arial"/>
                <w:sz w:val="20"/>
                <w:szCs w:val="20"/>
              </w:rPr>
              <w:t>:</w:t>
            </w:r>
            <w:r w:rsidR="00DC751E" w:rsidRPr="00DC751E">
              <w:rPr>
                <w:rFonts w:ascii="Arial" w:hAnsi="Arial" w:cs="Arial"/>
                <w:sz w:val="20"/>
                <w:szCs w:val="20"/>
              </w:rPr>
              <w:t xml:space="preserve"> (i) implicações do estudo de temas educacionais sob a perspectiva sócio-histórica: o presente e seus múltiplos tempos; (</w:t>
            </w:r>
            <w:proofErr w:type="spellStart"/>
            <w:r w:rsidR="00DC751E" w:rsidRPr="00DC751E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="00DC751E" w:rsidRPr="00DC751E">
              <w:rPr>
                <w:rFonts w:ascii="Arial" w:hAnsi="Arial" w:cs="Arial"/>
                <w:sz w:val="20"/>
                <w:szCs w:val="20"/>
              </w:rPr>
              <w:t>) conhecimento técnico-científico no ordenamento dos prédios escolares; (</w:t>
            </w:r>
            <w:proofErr w:type="spellStart"/>
            <w:r w:rsidR="00DC751E" w:rsidRPr="00DC751E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="00DC751E" w:rsidRPr="00DC751E">
              <w:rPr>
                <w:rFonts w:ascii="Arial" w:hAnsi="Arial" w:cs="Arial"/>
                <w:sz w:val="20"/>
                <w:szCs w:val="20"/>
              </w:rPr>
              <w:t>) a formação do estado nacional brasileiro e a emergência da escola pública; (</w:t>
            </w:r>
            <w:proofErr w:type="spellStart"/>
            <w:r w:rsidR="00DC751E" w:rsidRPr="00DC751E">
              <w:rPr>
                <w:rFonts w:ascii="Arial" w:hAnsi="Arial" w:cs="Arial"/>
                <w:sz w:val="20"/>
                <w:szCs w:val="20"/>
              </w:rPr>
              <w:t>iv</w:t>
            </w:r>
            <w:proofErr w:type="spellEnd"/>
            <w:r w:rsidR="00DC751E" w:rsidRPr="00DC751E">
              <w:rPr>
                <w:rFonts w:ascii="Arial" w:hAnsi="Arial" w:cs="Arial"/>
                <w:sz w:val="20"/>
                <w:szCs w:val="20"/>
              </w:rPr>
              <w:t xml:space="preserve">) processos de escolarização e a construção da cidadania; (v) a emergência da Química como disciplina escolar; (vi) teoria liberal, </w:t>
            </w:r>
            <w:proofErr w:type="spellStart"/>
            <w:r w:rsidR="00DC751E" w:rsidRPr="00DC751E">
              <w:rPr>
                <w:rFonts w:ascii="Arial" w:hAnsi="Arial" w:cs="Arial"/>
                <w:sz w:val="20"/>
                <w:szCs w:val="20"/>
              </w:rPr>
              <w:t>escolanovismo</w:t>
            </w:r>
            <w:proofErr w:type="spellEnd"/>
            <w:r w:rsidR="00DC751E" w:rsidRPr="00DC751E">
              <w:rPr>
                <w:rFonts w:ascii="Arial" w:hAnsi="Arial" w:cs="Arial"/>
                <w:sz w:val="20"/>
                <w:szCs w:val="20"/>
              </w:rPr>
              <w:t xml:space="preserve"> e a crítica à educação tradicional.</w:t>
            </w:r>
          </w:p>
          <w:p w14:paraId="7FA4D24C" w14:textId="06AF10BE" w:rsidR="00590209" w:rsidRDefault="005D7386" w:rsidP="00D5641F">
            <w:pPr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B75">
              <w:rPr>
                <w:rFonts w:ascii="Arial" w:hAnsi="Arial" w:cs="Arial"/>
                <w:sz w:val="20"/>
                <w:szCs w:val="20"/>
                <w:u w:val="single"/>
              </w:rPr>
              <w:t>Impactos de teóricos da educação nas políticas públicas educacionais</w:t>
            </w:r>
            <w:r w:rsidRPr="00DF4B75">
              <w:rPr>
                <w:rFonts w:ascii="Arial" w:hAnsi="Arial" w:cs="Arial"/>
                <w:sz w:val="20"/>
                <w:szCs w:val="20"/>
              </w:rPr>
              <w:t>:</w:t>
            </w:r>
            <w:r w:rsidR="00DF4B75" w:rsidRPr="00DF4B75">
              <w:rPr>
                <w:rFonts w:ascii="Arial" w:hAnsi="Arial" w:cs="Arial"/>
                <w:sz w:val="20"/>
                <w:szCs w:val="20"/>
              </w:rPr>
              <w:t xml:space="preserve"> (i) a disciplinarização e a organização da instituição escolar moderna; (</w:t>
            </w:r>
            <w:proofErr w:type="spellStart"/>
            <w:r w:rsidR="00DF4B75" w:rsidRPr="00DF4B75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="00DF4B75" w:rsidRPr="00DF4B75">
              <w:rPr>
                <w:rFonts w:ascii="Arial" w:hAnsi="Arial" w:cs="Arial"/>
                <w:sz w:val="20"/>
                <w:szCs w:val="20"/>
              </w:rPr>
              <w:t>) as tendências liberais e a essência da educação; (</w:t>
            </w:r>
            <w:proofErr w:type="spellStart"/>
            <w:r w:rsidR="00DF4B75" w:rsidRPr="00DF4B75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="00DF4B75" w:rsidRPr="00DF4B75">
              <w:rPr>
                <w:rFonts w:ascii="Arial" w:hAnsi="Arial" w:cs="Arial"/>
                <w:sz w:val="20"/>
                <w:szCs w:val="20"/>
              </w:rPr>
              <w:t xml:space="preserve">) projetos de </w:t>
            </w:r>
            <w:proofErr w:type="spellStart"/>
            <w:r w:rsidR="00DF4B75" w:rsidRPr="00DF4B75">
              <w:rPr>
                <w:rFonts w:ascii="Arial" w:hAnsi="Arial" w:cs="Arial"/>
                <w:sz w:val="20"/>
                <w:szCs w:val="20"/>
              </w:rPr>
              <w:t>desescolarização</w:t>
            </w:r>
            <w:proofErr w:type="spellEnd"/>
            <w:r w:rsidR="00DF4B75" w:rsidRPr="00DF4B75">
              <w:rPr>
                <w:rFonts w:ascii="Arial" w:hAnsi="Arial" w:cs="Arial"/>
                <w:sz w:val="20"/>
                <w:szCs w:val="20"/>
              </w:rPr>
              <w:t xml:space="preserve"> da sociedade; (</w:t>
            </w:r>
            <w:proofErr w:type="spellStart"/>
            <w:r w:rsidR="00DF4B75" w:rsidRPr="00DF4B75">
              <w:rPr>
                <w:rFonts w:ascii="Arial" w:hAnsi="Arial" w:cs="Arial"/>
                <w:sz w:val="20"/>
                <w:szCs w:val="20"/>
              </w:rPr>
              <w:t>iv</w:t>
            </w:r>
            <w:proofErr w:type="spellEnd"/>
            <w:r w:rsidR="00DF4B75" w:rsidRPr="00DF4B75">
              <w:rPr>
                <w:rFonts w:ascii="Arial" w:hAnsi="Arial" w:cs="Arial"/>
                <w:sz w:val="20"/>
                <w:szCs w:val="20"/>
              </w:rPr>
              <w:t>) a escola na sociedade de classes; a violência simbólica e a concepção crítico-</w:t>
            </w:r>
            <w:proofErr w:type="spellStart"/>
            <w:r w:rsidR="00DF4B75" w:rsidRPr="00DF4B75">
              <w:rPr>
                <w:rFonts w:ascii="Arial" w:hAnsi="Arial" w:cs="Arial"/>
                <w:sz w:val="20"/>
                <w:szCs w:val="20"/>
              </w:rPr>
              <w:t>reprodutivista</w:t>
            </w:r>
            <w:proofErr w:type="spellEnd"/>
            <w:r w:rsidR="00DF4B75" w:rsidRPr="00DF4B75">
              <w:rPr>
                <w:rFonts w:ascii="Arial" w:hAnsi="Arial" w:cs="Arial"/>
                <w:sz w:val="20"/>
                <w:szCs w:val="20"/>
              </w:rPr>
              <w:t xml:space="preserve"> da escola; (v) os projetos de emancipação pela educação.</w:t>
            </w:r>
          </w:p>
          <w:p w14:paraId="0F8A2AB3" w14:textId="7C9E888D" w:rsidR="00BD2A89" w:rsidRDefault="00F34C1E" w:rsidP="00D5641F">
            <w:pPr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15892889"/>
            <w:r w:rsidRPr="007E1E2B">
              <w:rPr>
                <w:rFonts w:ascii="Arial" w:hAnsi="Arial" w:cs="Arial"/>
                <w:sz w:val="20"/>
                <w:szCs w:val="20"/>
                <w:u w:val="single"/>
              </w:rPr>
              <w:t>Debates contemporâneos em educação</w:t>
            </w:r>
            <w:bookmarkEnd w:id="0"/>
            <w:r w:rsidRPr="007E1E2B">
              <w:rPr>
                <w:rFonts w:ascii="Arial" w:hAnsi="Arial" w:cs="Arial"/>
                <w:sz w:val="20"/>
                <w:szCs w:val="20"/>
              </w:rPr>
              <w:t>:</w:t>
            </w:r>
            <w:r w:rsidR="007E1E2B" w:rsidRPr="007E1E2B">
              <w:rPr>
                <w:rFonts w:ascii="Arial" w:hAnsi="Arial" w:cs="Arial"/>
                <w:sz w:val="20"/>
                <w:szCs w:val="20"/>
              </w:rPr>
              <w:t xml:space="preserve"> (i) regimes políticos e educação (democracia liberal, totalitarismo, socialismo, neoliberalismo); (</w:t>
            </w:r>
            <w:proofErr w:type="spellStart"/>
            <w:r w:rsidR="007E1E2B" w:rsidRPr="007E1E2B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="007E1E2B" w:rsidRPr="007E1E2B">
              <w:rPr>
                <w:rFonts w:ascii="Arial" w:hAnsi="Arial" w:cs="Arial"/>
                <w:sz w:val="20"/>
                <w:szCs w:val="20"/>
              </w:rPr>
              <w:t>) disciplinas escolares e agentes educativos; (</w:t>
            </w:r>
            <w:proofErr w:type="spellStart"/>
            <w:r w:rsidR="007E1E2B" w:rsidRPr="007E1E2B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="007E1E2B" w:rsidRPr="007E1E2B">
              <w:rPr>
                <w:rFonts w:ascii="Arial" w:hAnsi="Arial" w:cs="Arial"/>
                <w:sz w:val="20"/>
                <w:szCs w:val="20"/>
              </w:rPr>
              <w:t xml:space="preserve">) projetos de </w:t>
            </w:r>
            <w:r w:rsidR="007E1E2B" w:rsidRPr="007E1E2B">
              <w:rPr>
                <w:rFonts w:ascii="Arial" w:hAnsi="Arial" w:cs="Arial"/>
                <w:sz w:val="20"/>
                <w:szCs w:val="20"/>
              </w:rPr>
              <w:lastRenderedPageBreak/>
              <w:t>vida e competências socioemocionais; (</w:t>
            </w:r>
            <w:proofErr w:type="spellStart"/>
            <w:r w:rsidR="007E1E2B" w:rsidRPr="007E1E2B">
              <w:rPr>
                <w:rFonts w:ascii="Arial" w:hAnsi="Arial" w:cs="Arial"/>
                <w:sz w:val="20"/>
                <w:szCs w:val="20"/>
              </w:rPr>
              <w:t>iv</w:t>
            </w:r>
            <w:proofErr w:type="spellEnd"/>
            <w:r w:rsidR="007E1E2B" w:rsidRPr="007E1E2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E1E2B">
              <w:rPr>
                <w:rFonts w:ascii="Arial" w:hAnsi="Arial" w:cs="Arial"/>
                <w:sz w:val="20"/>
                <w:szCs w:val="20"/>
              </w:rPr>
              <w:t>t</w:t>
            </w:r>
            <w:r w:rsidR="007E1E2B" w:rsidRPr="007E1E2B">
              <w:rPr>
                <w:rFonts w:ascii="Arial" w:hAnsi="Arial" w:cs="Arial"/>
                <w:sz w:val="20"/>
                <w:szCs w:val="20"/>
              </w:rPr>
              <w:t>eoria libertadora e a transformação da sociedade</w:t>
            </w:r>
            <w:r w:rsidR="00597D67">
              <w:rPr>
                <w:rFonts w:ascii="Arial" w:hAnsi="Arial" w:cs="Arial"/>
                <w:sz w:val="20"/>
                <w:szCs w:val="20"/>
              </w:rPr>
              <w:t xml:space="preserve">; (v) perspectiva </w:t>
            </w:r>
            <w:proofErr w:type="spellStart"/>
            <w:r w:rsidR="00597D67">
              <w:rPr>
                <w:rFonts w:ascii="Arial" w:hAnsi="Arial" w:cs="Arial"/>
                <w:sz w:val="20"/>
                <w:szCs w:val="20"/>
              </w:rPr>
              <w:t>discente~docente~aprendente</w:t>
            </w:r>
            <w:proofErr w:type="spellEnd"/>
            <w:r w:rsidR="007E1E2B" w:rsidRPr="007E1E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21FF80" w14:textId="4925AB4D" w:rsidR="00F34C1E" w:rsidRDefault="00BD2A89" w:rsidP="00D5641F">
            <w:pPr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A89">
              <w:rPr>
                <w:rFonts w:ascii="Arial" w:hAnsi="Arial" w:cs="Arial"/>
                <w:sz w:val="20"/>
                <w:szCs w:val="20"/>
                <w:u w:val="single"/>
              </w:rPr>
              <w:t>Extensão como lócus de resistência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5641F">
              <w:rPr>
                <w:rFonts w:ascii="Arial" w:hAnsi="Arial" w:cs="Arial"/>
                <w:sz w:val="20"/>
                <w:szCs w:val="20"/>
              </w:rPr>
              <w:t>(i) princípios da extensão universitária</w:t>
            </w:r>
            <w:r w:rsidR="00AD2429">
              <w:rPr>
                <w:rFonts w:ascii="Arial" w:hAnsi="Arial" w:cs="Arial"/>
                <w:sz w:val="20"/>
                <w:szCs w:val="20"/>
              </w:rPr>
              <w:t>; (</w:t>
            </w:r>
            <w:proofErr w:type="spellStart"/>
            <w:r w:rsidR="00AD2429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="00AD242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AD2429">
              <w:rPr>
                <w:rFonts w:ascii="Arial" w:hAnsi="Arial" w:cs="Arial"/>
                <w:sz w:val="20"/>
                <w:szCs w:val="20"/>
              </w:rPr>
              <w:t>curricularização</w:t>
            </w:r>
            <w:proofErr w:type="spellEnd"/>
            <w:r w:rsidR="00AD2429">
              <w:rPr>
                <w:rFonts w:ascii="Arial" w:hAnsi="Arial" w:cs="Arial"/>
                <w:sz w:val="20"/>
                <w:szCs w:val="20"/>
              </w:rPr>
              <w:t xml:space="preserve"> da extensão universitária; (</w:t>
            </w:r>
            <w:proofErr w:type="spellStart"/>
            <w:r w:rsidR="00AD2429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="00AD2429">
              <w:rPr>
                <w:rFonts w:ascii="Arial" w:hAnsi="Arial" w:cs="Arial"/>
                <w:sz w:val="20"/>
                <w:szCs w:val="20"/>
              </w:rPr>
              <w:t>) o papel da extensão universitária como lócus de resistência</w:t>
            </w:r>
            <w:r w:rsidR="00111E71">
              <w:rPr>
                <w:rFonts w:ascii="Arial" w:hAnsi="Arial" w:cs="Arial"/>
                <w:sz w:val="20"/>
                <w:szCs w:val="20"/>
              </w:rPr>
              <w:t>; (</w:t>
            </w:r>
            <w:proofErr w:type="spellStart"/>
            <w:r w:rsidR="00111E71">
              <w:rPr>
                <w:rFonts w:ascii="Arial" w:hAnsi="Arial" w:cs="Arial"/>
                <w:sz w:val="20"/>
                <w:szCs w:val="20"/>
              </w:rPr>
              <w:t>iv</w:t>
            </w:r>
            <w:proofErr w:type="spellEnd"/>
            <w:r w:rsidR="00111E71">
              <w:rPr>
                <w:rFonts w:ascii="Arial" w:hAnsi="Arial" w:cs="Arial"/>
                <w:sz w:val="20"/>
                <w:szCs w:val="20"/>
              </w:rPr>
              <w:t xml:space="preserve">) espaços de intercâmbio de experiências e saberes; </w:t>
            </w:r>
            <w:r w:rsidR="00E85B8E">
              <w:rPr>
                <w:rFonts w:ascii="Arial" w:hAnsi="Arial" w:cs="Arial"/>
                <w:sz w:val="20"/>
                <w:szCs w:val="20"/>
              </w:rPr>
              <w:t>(v) aprender como processo permanente de pesquisa e descoberta</w:t>
            </w:r>
            <w:r w:rsidR="00597D67">
              <w:rPr>
                <w:rFonts w:ascii="Arial" w:hAnsi="Arial" w:cs="Arial"/>
                <w:sz w:val="20"/>
                <w:szCs w:val="20"/>
              </w:rPr>
              <w:t xml:space="preserve">; (vi) </w:t>
            </w:r>
            <w:proofErr w:type="gramStart"/>
            <w:r w:rsidR="00597D67">
              <w:rPr>
                <w:rFonts w:ascii="Arial" w:hAnsi="Arial" w:cs="Arial"/>
                <w:sz w:val="20"/>
                <w:szCs w:val="20"/>
              </w:rPr>
              <w:t xml:space="preserve">legados </w:t>
            </w:r>
            <w:proofErr w:type="spellStart"/>
            <w:r w:rsidR="00597D67">
              <w:rPr>
                <w:rFonts w:ascii="Arial" w:hAnsi="Arial" w:cs="Arial"/>
                <w:sz w:val="20"/>
                <w:szCs w:val="20"/>
              </w:rPr>
              <w:t>discente</w:t>
            </w:r>
            <w:proofErr w:type="gramEnd"/>
            <w:r w:rsidR="00597D67">
              <w:rPr>
                <w:rFonts w:ascii="Arial" w:hAnsi="Arial" w:cs="Arial"/>
                <w:sz w:val="20"/>
                <w:szCs w:val="20"/>
              </w:rPr>
              <w:t>~docente~aprendente</w:t>
            </w:r>
            <w:proofErr w:type="spellEnd"/>
            <w:r w:rsidR="00E85B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34DE92" w14:textId="7D4E5807" w:rsidR="00AD2429" w:rsidRDefault="00AD2429" w:rsidP="00D5641F">
            <w:pPr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15259954"/>
            <w:r w:rsidRPr="00AD2429">
              <w:rPr>
                <w:rFonts w:ascii="Arial" w:hAnsi="Arial" w:cs="Arial"/>
                <w:sz w:val="20"/>
                <w:szCs w:val="20"/>
                <w:u w:val="single"/>
              </w:rPr>
              <w:t>Transdisciplinaridade no ensino de química para a equidade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11E71">
              <w:rPr>
                <w:rFonts w:ascii="Arial" w:hAnsi="Arial" w:cs="Arial"/>
                <w:sz w:val="20"/>
                <w:szCs w:val="20"/>
              </w:rPr>
              <w:t xml:space="preserve"> (i) da ontologia e da epistemologia complexa à metodologia transdisciplinar; (</w:t>
            </w:r>
            <w:proofErr w:type="spellStart"/>
            <w:r w:rsidR="00111E71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="00111E71">
              <w:rPr>
                <w:rFonts w:ascii="Arial" w:hAnsi="Arial" w:cs="Arial"/>
                <w:sz w:val="20"/>
                <w:szCs w:val="20"/>
              </w:rPr>
              <w:t>) conceituando transdisciplinaridade (algumas implicações de caráter ontológico, epistemológico e metodológico); (</w:t>
            </w:r>
            <w:proofErr w:type="spellStart"/>
            <w:r w:rsidR="00111E71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="00111E7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37C5B">
              <w:rPr>
                <w:rFonts w:ascii="Arial" w:hAnsi="Arial" w:cs="Arial"/>
                <w:sz w:val="20"/>
                <w:szCs w:val="20"/>
              </w:rPr>
              <w:t>mudanças nas perspectivas teóricas e epistemológicas da ciência; (</w:t>
            </w:r>
            <w:proofErr w:type="spellStart"/>
            <w:r w:rsidR="00D37C5B">
              <w:rPr>
                <w:rFonts w:ascii="Arial" w:hAnsi="Arial" w:cs="Arial"/>
                <w:sz w:val="20"/>
                <w:szCs w:val="20"/>
              </w:rPr>
              <w:t>iv</w:t>
            </w:r>
            <w:proofErr w:type="spellEnd"/>
            <w:r w:rsidR="00D37C5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11E71">
              <w:rPr>
                <w:rFonts w:ascii="Arial" w:hAnsi="Arial" w:cs="Arial"/>
                <w:sz w:val="20"/>
                <w:szCs w:val="20"/>
              </w:rPr>
              <w:t>possíveis indicadores que caracterizam uma escola transdisciplinar</w:t>
            </w:r>
            <w:r w:rsidR="00597D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93F037" w14:textId="7842D78E" w:rsidR="00B06A00" w:rsidRPr="007E1E2B" w:rsidRDefault="00B06A00" w:rsidP="00D5641F">
            <w:pPr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A00">
              <w:rPr>
                <w:rFonts w:ascii="Arial" w:hAnsi="Arial" w:cs="Arial"/>
                <w:sz w:val="20"/>
                <w:szCs w:val="20"/>
                <w:u w:val="single"/>
              </w:rPr>
              <w:t>Temas tabus no processo de aprendizagem de química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57A11">
              <w:rPr>
                <w:rFonts w:ascii="Arial" w:hAnsi="Arial" w:cs="Arial"/>
                <w:sz w:val="20"/>
                <w:szCs w:val="20"/>
              </w:rPr>
              <w:t xml:space="preserve">(i) temas tabus esquecidos durante a docência </w:t>
            </w:r>
            <w:r w:rsidR="00F57A11" w:rsidRPr="00F57A11">
              <w:rPr>
                <w:rFonts w:ascii="Arial" w:hAnsi="Arial" w:cs="Arial"/>
                <w:sz w:val="20"/>
                <w:szCs w:val="20"/>
              </w:rPr>
              <w:t>(drogas, gênero, sexualidade, religiões de diferentes matrizes, racismo, famílias que não sejam heteronormativas...)</w:t>
            </w:r>
            <w:r w:rsidR="00F57A1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534C9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534C9D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="00534C9D">
              <w:rPr>
                <w:rFonts w:ascii="Arial" w:hAnsi="Arial" w:cs="Arial"/>
                <w:sz w:val="20"/>
                <w:szCs w:val="20"/>
              </w:rPr>
              <w:t>) percepção docente sobre o debate de temas tabus; (</w:t>
            </w:r>
            <w:proofErr w:type="spellStart"/>
            <w:r w:rsidR="00534C9D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="00534C9D">
              <w:rPr>
                <w:rFonts w:ascii="Arial" w:hAnsi="Arial" w:cs="Arial"/>
                <w:sz w:val="20"/>
                <w:szCs w:val="20"/>
              </w:rPr>
              <w:t>) implicações do não debate.</w:t>
            </w:r>
          </w:p>
          <w:p w14:paraId="131990A4" w14:textId="56CE8F1C" w:rsidR="005D7386" w:rsidRDefault="005D7386" w:rsidP="005D738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45BA02" w14:textId="14FE2146" w:rsidR="00986F0E" w:rsidRDefault="00986F0E" w:rsidP="00986F0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F0E">
              <w:rPr>
                <w:rFonts w:ascii="Arial" w:hAnsi="Arial" w:cs="Arial"/>
                <w:b/>
                <w:sz w:val="20"/>
                <w:szCs w:val="20"/>
              </w:rPr>
              <w:t>Programa Prático</w:t>
            </w:r>
          </w:p>
          <w:p w14:paraId="11A816BA" w14:textId="4C6102A8" w:rsidR="001C5D91" w:rsidRDefault="001C5D91" w:rsidP="00986F0E">
            <w:pPr>
              <w:numPr>
                <w:ilvl w:val="0"/>
                <w:numId w:val="17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Rodas de Conversa e Mesas Redondas</w:t>
            </w:r>
            <w:r w:rsidR="005C0A01">
              <w:rPr>
                <w:rFonts w:ascii="Arial" w:hAnsi="Arial" w:cs="Arial"/>
                <w:sz w:val="20"/>
                <w:szCs w:val="20"/>
              </w:rPr>
              <w:t xml:space="preserve"> em tópicos selecionados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E1C821" w14:textId="1252B3EE" w:rsidR="001C5D91" w:rsidRDefault="001C5D91" w:rsidP="00986F0E">
            <w:pPr>
              <w:numPr>
                <w:ilvl w:val="0"/>
                <w:numId w:val="17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Seminários conduzidos pelos alunos em tópicos selecionados;</w:t>
            </w:r>
          </w:p>
          <w:p w14:paraId="55A4E902" w14:textId="397ED066" w:rsidR="001C5D91" w:rsidRPr="00986F0E" w:rsidRDefault="001C5D91" w:rsidP="001C5D91">
            <w:pPr>
              <w:numPr>
                <w:ilvl w:val="0"/>
                <w:numId w:val="17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F0E">
              <w:rPr>
                <w:rFonts w:ascii="Arial" w:hAnsi="Arial" w:cs="Arial"/>
                <w:sz w:val="20"/>
                <w:szCs w:val="20"/>
              </w:rPr>
              <w:t xml:space="preserve">Visita técnica em </w:t>
            </w:r>
            <w:r w:rsidR="005C2762">
              <w:rPr>
                <w:rFonts w:ascii="Arial" w:hAnsi="Arial" w:cs="Arial"/>
                <w:sz w:val="20"/>
                <w:szCs w:val="20"/>
              </w:rPr>
              <w:t>escolas parceiras;</w:t>
            </w:r>
          </w:p>
          <w:p w14:paraId="09CD65D7" w14:textId="78D72182" w:rsidR="001C5D91" w:rsidRDefault="001C5D91" w:rsidP="00986F0E">
            <w:pPr>
              <w:numPr>
                <w:ilvl w:val="0"/>
                <w:numId w:val="17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Elaboração de legados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discente~docente~aprendente</w:t>
            </w:r>
            <w:proofErr w:type="spellEnd"/>
            <w:r w:rsidR="005C2762">
              <w:rPr>
                <w:rFonts w:ascii="Arial" w:hAnsi="Arial" w:cs="Arial"/>
                <w:sz w:val="20"/>
                <w:szCs w:val="20"/>
              </w:rPr>
              <w:t xml:space="preserve"> (oficinas, mesas redondas, palestras);</w:t>
            </w:r>
          </w:p>
          <w:p w14:paraId="359D00D7" w14:textId="33A96716" w:rsidR="005C2762" w:rsidRDefault="005C2762" w:rsidP="00986F0E">
            <w:pPr>
              <w:numPr>
                <w:ilvl w:val="0"/>
                <w:numId w:val="17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762">
              <w:rPr>
                <w:rFonts w:ascii="Arial" w:hAnsi="Arial" w:cs="Arial"/>
                <w:sz w:val="20"/>
                <w:szCs w:val="20"/>
              </w:rPr>
              <w:t>Elaboração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Caderno de Campo e Portifólio.</w:t>
            </w:r>
          </w:p>
          <w:p w14:paraId="7A54126C" w14:textId="77777777" w:rsidR="00331785" w:rsidRDefault="00331785" w:rsidP="00986F0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DB7C92" w14:textId="7B733F34" w:rsidR="00331785" w:rsidRDefault="00331785" w:rsidP="0033178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F0E">
              <w:rPr>
                <w:rFonts w:ascii="Arial" w:hAnsi="Arial" w:cs="Arial"/>
                <w:b/>
                <w:sz w:val="20"/>
                <w:szCs w:val="20"/>
              </w:rPr>
              <w:t xml:space="preserve">Programa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Extensão</w:t>
            </w:r>
          </w:p>
          <w:p w14:paraId="4E32685B" w14:textId="0D2E08D5" w:rsidR="008D698C" w:rsidRDefault="008D698C" w:rsidP="008D698C">
            <w:pPr>
              <w:numPr>
                <w:ilvl w:val="0"/>
                <w:numId w:val="19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Ações extensionistas nas escolas parceiras;</w:t>
            </w:r>
          </w:p>
          <w:p w14:paraId="072E4C2A" w14:textId="1E888B68" w:rsidR="00331785" w:rsidRPr="008D698C" w:rsidRDefault="008D698C" w:rsidP="00331785">
            <w:pPr>
              <w:numPr>
                <w:ilvl w:val="0"/>
                <w:numId w:val="19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Ações extensionistas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nos campus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universitários da UFRJ e/ou em seus polos.</w:t>
            </w:r>
          </w:p>
          <w:p w14:paraId="3E9AE97B" w14:textId="22282D06" w:rsidR="00331785" w:rsidRPr="00476506" w:rsidRDefault="00331785" w:rsidP="00986F0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81" w14:textId="77777777" w:rsidTr="00AB599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D" w14:textId="77777777" w:rsidR="00F814C8" w:rsidRPr="009A2977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E" w14:textId="77777777" w:rsidR="00F814C8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E9AE97F" w14:textId="77777777" w:rsidR="00BB45CB" w:rsidRDefault="00BB45CB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E9AE980" w14:textId="77777777" w:rsidR="00BB45CB" w:rsidRPr="009A2977" w:rsidRDefault="00BB45CB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83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DD805" w14:textId="2B729EB7" w:rsidR="00766073" w:rsidRPr="00B82258" w:rsidRDefault="00766073" w:rsidP="00B82258">
            <w:pPr>
              <w:spacing w:before="80" w:after="80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82258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PROCESSO DE ESCOLARIZAÇÃO NO BRASIL (XIX-XX)</w:t>
            </w:r>
          </w:p>
          <w:p w14:paraId="1FB1B5EE" w14:textId="77777777" w:rsidR="00766073" w:rsidRPr="00B82258" w:rsidRDefault="00766073" w:rsidP="00B82258">
            <w:pPr>
              <w:spacing w:before="80" w:after="80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E9AE982" w14:textId="5DEA16A0" w:rsidR="00F814C8" w:rsidRPr="00B82258" w:rsidRDefault="00F814C8" w:rsidP="00B82258">
            <w:pPr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225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Bibliografia </w:t>
            </w:r>
            <w:r w:rsidR="00B8225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>B</w:t>
            </w:r>
            <w:r w:rsidRPr="00B8225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>ásica:</w:t>
            </w:r>
            <w:r w:rsidR="007335F0" w:rsidRPr="00B8225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  <w:tr w:rsidR="00F814C8" w:rsidRPr="00442DAF" w14:paraId="3E9AE987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301B" w14:textId="77777777" w:rsidR="007436DA" w:rsidRPr="007436DA" w:rsidRDefault="007436DA" w:rsidP="007436DA">
            <w:pPr>
              <w:pStyle w:val="PargrafodaLista"/>
              <w:numPr>
                <w:ilvl w:val="0"/>
                <w:numId w:val="18"/>
              </w:numPr>
              <w:spacing w:before="80" w:after="80"/>
              <w:rPr>
                <w:rFonts w:ascii="Arial" w:hAnsi="Arial" w:cs="Arial"/>
                <w:color w:val="000000" w:themeColor="text1"/>
                <w:sz w:val="20"/>
              </w:rPr>
            </w:pPr>
            <w:r w:rsidRPr="007436DA">
              <w:rPr>
                <w:rFonts w:ascii="Arial" w:hAnsi="Arial" w:cs="Arial"/>
                <w:color w:val="000000" w:themeColor="text1"/>
                <w:sz w:val="20"/>
              </w:rPr>
              <w:t xml:space="preserve">TREVISAN, Tatiana Santini; MARTINS, Pura Lúcia Oliver. A prática pedagógica do professor de química: possibilidades e limites. </w:t>
            </w:r>
            <w:proofErr w:type="spellStart"/>
            <w:r w:rsidRPr="007436DA">
              <w:rPr>
                <w:rFonts w:ascii="Arial" w:hAnsi="Arial" w:cs="Arial"/>
                <w:color w:val="000000" w:themeColor="text1"/>
                <w:sz w:val="20"/>
              </w:rPr>
              <w:t>UNIrevista</w:t>
            </w:r>
            <w:proofErr w:type="spellEnd"/>
            <w:r w:rsidRPr="007436DA">
              <w:rPr>
                <w:rFonts w:ascii="Arial" w:hAnsi="Arial" w:cs="Arial"/>
                <w:color w:val="000000" w:themeColor="text1"/>
                <w:sz w:val="20"/>
              </w:rPr>
              <w:t>, Vol. 1, Nº. 2, abril de 2006.</w:t>
            </w:r>
          </w:p>
          <w:p w14:paraId="3E9AE986" w14:textId="144A5303" w:rsidR="00DC6183" w:rsidRPr="00B82258" w:rsidRDefault="007436DA" w:rsidP="007436DA">
            <w:pPr>
              <w:numPr>
                <w:ilvl w:val="0"/>
                <w:numId w:val="18"/>
              </w:num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7436DA">
              <w:rPr>
                <w:rFonts w:ascii="Arial" w:hAnsi="Arial" w:cs="Arial"/>
                <w:color w:val="000000" w:themeColor="text1"/>
                <w:sz w:val="20"/>
              </w:rPr>
              <w:t xml:space="preserve">SILVA, Rejane Maria Ghisolfi; SCHNELTZER, Roseli Pacheco. Bases epistemológicas e enfoques didáticos na formação do educador. Anais da 24ª. Reunião Anual da </w:t>
            </w:r>
            <w:proofErr w:type="spellStart"/>
            <w:r w:rsidRPr="007436DA">
              <w:rPr>
                <w:rFonts w:ascii="Arial" w:hAnsi="Arial" w:cs="Arial"/>
                <w:color w:val="000000" w:themeColor="text1"/>
                <w:sz w:val="20"/>
              </w:rPr>
              <w:t>ANPEd</w:t>
            </w:r>
            <w:proofErr w:type="spellEnd"/>
            <w:r w:rsidRPr="007436DA">
              <w:rPr>
                <w:rFonts w:ascii="Arial" w:hAnsi="Arial" w:cs="Arial"/>
                <w:color w:val="000000" w:themeColor="text1"/>
                <w:sz w:val="20"/>
              </w:rPr>
              <w:t xml:space="preserve"> – GT 4 (Didática). Caxambu, 2001.</w:t>
            </w:r>
          </w:p>
        </w:tc>
      </w:tr>
    </w:tbl>
    <w:p w14:paraId="3E9AE988" w14:textId="77777777" w:rsidR="001D14D2" w:rsidRPr="00442DAF" w:rsidRDefault="001D14D2" w:rsidP="001635C5"/>
    <w:sectPr w:rsidR="001D14D2" w:rsidRPr="00442DAF" w:rsidSect="002F0948">
      <w:headerReference w:type="default" r:id="rId11"/>
      <w:footerReference w:type="even" r:id="rId12"/>
      <w:footerReference w:type="default" r:id="rId13"/>
      <w:pgSz w:w="12240" w:h="15840" w:code="1"/>
      <w:pgMar w:top="1985" w:right="1021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B28E1" w14:textId="77777777" w:rsidR="00141C9C" w:rsidRDefault="00141C9C">
      <w:r>
        <w:separator/>
      </w:r>
    </w:p>
  </w:endnote>
  <w:endnote w:type="continuationSeparator" w:id="0">
    <w:p w14:paraId="7A4839BD" w14:textId="77777777" w:rsidR="00141C9C" w:rsidRDefault="0014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E992" w14:textId="77777777" w:rsidR="006C20C7" w:rsidRDefault="006C20C7" w:rsidP="009E5E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9AE993" w14:textId="77777777" w:rsidR="006C20C7" w:rsidRDefault="006C20C7" w:rsidP="00D3496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E994" w14:textId="66DEB6FB" w:rsidR="006C20C7" w:rsidRPr="009E5E1D" w:rsidRDefault="006C20C7" w:rsidP="001D62EE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9E5E1D">
      <w:rPr>
        <w:rStyle w:val="Nmerodepgina"/>
        <w:rFonts w:ascii="Arial" w:hAnsi="Arial" w:cs="Arial"/>
        <w:sz w:val="18"/>
        <w:szCs w:val="18"/>
      </w:rPr>
      <w:fldChar w:fldCharType="begin"/>
    </w:r>
    <w:r w:rsidRPr="009E5E1D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9E5E1D">
      <w:rPr>
        <w:rStyle w:val="Nmerodepgina"/>
        <w:rFonts w:ascii="Arial" w:hAnsi="Arial" w:cs="Arial"/>
        <w:sz w:val="18"/>
        <w:szCs w:val="18"/>
      </w:rPr>
      <w:fldChar w:fldCharType="separate"/>
    </w:r>
    <w:r w:rsidR="00C35907">
      <w:rPr>
        <w:rStyle w:val="Nmerodepgina"/>
        <w:rFonts w:ascii="Arial" w:hAnsi="Arial" w:cs="Arial"/>
        <w:noProof/>
        <w:sz w:val="18"/>
        <w:szCs w:val="18"/>
      </w:rPr>
      <w:t>1</w:t>
    </w:r>
    <w:r w:rsidRPr="009E5E1D">
      <w:rPr>
        <w:rStyle w:val="Nmerodepgina"/>
        <w:rFonts w:ascii="Arial" w:hAnsi="Arial" w:cs="Arial"/>
        <w:sz w:val="18"/>
        <w:szCs w:val="18"/>
      </w:rPr>
      <w:fldChar w:fldCharType="end"/>
    </w:r>
  </w:p>
  <w:p w14:paraId="3E9AE995" w14:textId="77777777" w:rsidR="006C20C7" w:rsidRDefault="006C20C7" w:rsidP="00BC7EE1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3E9AE996" w14:textId="77777777" w:rsidR="006C20C7" w:rsidRPr="0081501F" w:rsidRDefault="006C20C7" w:rsidP="00BC7EE1">
    <w:pPr>
      <w:jc w:val="center"/>
      <w:rPr>
        <w:rFonts w:ascii="Arial" w:hAnsi="Arial" w:cs="Arial"/>
        <w:i/>
        <w:sz w:val="15"/>
        <w:szCs w:val="16"/>
      </w:rPr>
    </w:pPr>
    <w:r w:rsidRPr="0081501F">
      <w:rPr>
        <w:rFonts w:ascii="Arial" w:hAnsi="Arial" w:cs="Arial"/>
        <w:i/>
        <w:sz w:val="15"/>
        <w:szCs w:val="16"/>
      </w:rPr>
      <w:t>Universidade Federal do Rio de Janeiro/ Instituto de Química / Departamento de Química Orgânica - Av. Athos da Silveira Ramos, 149,</w:t>
    </w:r>
  </w:p>
  <w:p w14:paraId="3E9AE997" w14:textId="77777777" w:rsidR="006C20C7" w:rsidRPr="0081501F" w:rsidRDefault="006C20C7" w:rsidP="00BC7EE1">
    <w:pPr>
      <w:jc w:val="center"/>
      <w:rPr>
        <w:rFonts w:ascii="Arial" w:hAnsi="Arial" w:cs="Arial"/>
        <w:i/>
        <w:sz w:val="15"/>
        <w:szCs w:val="16"/>
      </w:rPr>
    </w:pPr>
    <w:r w:rsidRPr="0081501F">
      <w:rPr>
        <w:rFonts w:ascii="Arial" w:hAnsi="Arial" w:cs="Arial"/>
        <w:i/>
        <w:sz w:val="15"/>
      </w:rPr>
      <w:t>Centro de Tecnologia, Bloco A, sala 616, 6</w:t>
    </w:r>
    <w:r w:rsidRPr="0081501F">
      <w:rPr>
        <w:rFonts w:ascii="Arial" w:hAnsi="Arial" w:cs="Arial"/>
        <w:i/>
        <w:position w:val="6"/>
        <w:sz w:val="15"/>
      </w:rPr>
      <w:t>o</w:t>
    </w:r>
    <w:r w:rsidRPr="0081501F">
      <w:rPr>
        <w:rFonts w:ascii="Arial" w:hAnsi="Arial" w:cs="Arial"/>
        <w:i/>
        <w:sz w:val="15"/>
      </w:rPr>
      <w:t xml:space="preserve">. </w:t>
    </w:r>
    <w:proofErr w:type="gramStart"/>
    <w:r w:rsidRPr="0081501F">
      <w:rPr>
        <w:rFonts w:ascii="Arial" w:hAnsi="Arial" w:cs="Arial"/>
        <w:i/>
        <w:sz w:val="15"/>
      </w:rPr>
      <w:t>andar,  Ilha</w:t>
    </w:r>
    <w:proofErr w:type="gramEnd"/>
    <w:r w:rsidRPr="0081501F">
      <w:rPr>
        <w:rFonts w:ascii="Arial" w:hAnsi="Arial" w:cs="Arial"/>
        <w:i/>
        <w:sz w:val="15"/>
      </w:rPr>
      <w:t xml:space="preserve"> da Cidade Universitária, CEP 31941909 – Rio de Janeiro Tel.  (021) 25627256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3FA3" w14:textId="77777777" w:rsidR="00141C9C" w:rsidRDefault="00141C9C">
      <w:r>
        <w:separator/>
      </w:r>
    </w:p>
  </w:footnote>
  <w:footnote w:type="continuationSeparator" w:id="0">
    <w:p w14:paraId="49EFA720" w14:textId="77777777" w:rsidR="00141C9C" w:rsidRDefault="0014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E98D" w14:textId="400DA01F" w:rsidR="006C20C7" w:rsidRDefault="00113AA3" w:rsidP="00660A23">
    <w:pPr>
      <w:jc w:val="center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9AE998" wp14:editId="64D0F9D7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hrough wrapText="bothSides">
            <wp:wrapPolygon edited="0">
              <wp:start x="0" y="0"/>
              <wp:lineTo x="0" y="20689"/>
              <wp:lineTo x="20940" y="20689"/>
              <wp:lineTo x="2094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0C7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E9AE999" wp14:editId="3E9AE99A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1905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1125E1" w14:textId="77777777" w:rsidR="00267F5D" w:rsidRDefault="00267F5D" w:rsidP="00267F5D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06E6EC41" w14:textId="3B508A07" w:rsidR="00267F5D" w:rsidRDefault="00267F5D" w:rsidP="00267F5D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Formulário: PLANO DE ENSINO </w:t>
    </w:r>
    <w:r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IQWY12</w:t>
    </w:r>
  </w:p>
  <w:p w14:paraId="3E9AE990" w14:textId="77777777" w:rsidR="006C20C7" w:rsidRPr="002F0948" w:rsidRDefault="006C20C7" w:rsidP="00660A23">
    <w:pPr>
      <w:jc w:val="center"/>
      <w:rPr>
        <w:rFonts w:ascii="Arial" w:hAnsi="Arial" w:cs="Arial"/>
        <w:b/>
        <w:sz w:val="14"/>
        <w:szCs w:val="16"/>
      </w:rPr>
    </w:pPr>
  </w:p>
  <w:p w14:paraId="3E9AE991" w14:textId="77777777" w:rsidR="006C20C7" w:rsidRPr="002F0948" w:rsidRDefault="006C20C7" w:rsidP="00660A23">
    <w:pPr>
      <w:jc w:val="center"/>
      <w:rPr>
        <w:sz w:val="14"/>
        <w:szCs w:val="16"/>
      </w:rPr>
    </w:pPr>
    <w:r w:rsidRPr="002F0948">
      <w:rPr>
        <w:rFonts w:ascii="Arial" w:hAnsi="Arial" w:cs="Arial"/>
        <w:b/>
        <w:sz w:val="14"/>
        <w:szCs w:val="16"/>
      </w:rPr>
      <w:t>___________________________________________________________________________</w:t>
    </w:r>
    <w:r>
      <w:rPr>
        <w:rFonts w:ascii="Arial" w:hAnsi="Arial" w:cs="Arial"/>
        <w:b/>
        <w:sz w:val="14"/>
        <w:szCs w:val="16"/>
      </w:rPr>
      <w:t>________________</w:t>
    </w:r>
    <w:r w:rsidRPr="002F0948">
      <w:rPr>
        <w:rFonts w:ascii="Arial" w:hAnsi="Arial" w:cs="Arial"/>
        <w:b/>
        <w:sz w:val="14"/>
        <w:szCs w:val="16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4302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234A9"/>
    <w:multiLevelType w:val="hybridMultilevel"/>
    <w:tmpl w:val="445C09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A2170"/>
    <w:multiLevelType w:val="hybridMultilevel"/>
    <w:tmpl w:val="D3FC0EE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D39D7"/>
    <w:multiLevelType w:val="hybridMultilevel"/>
    <w:tmpl w:val="BE509AC4"/>
    <w:lvl w:ilvl="0" w:tplc="C34CBC92">
      <w:start w:val="1"/>
      <w:numFmt w:val="decimal"/>
      <w:lvlText w:val="(%1)"/>
      <w:lvlJc w:val="left"/>
      <w:pPr>
        <w:ind w:left="7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EC8210E"/>
    <w:multiLevelType w:val="hybridMultilevel"/>
    <w:tmpl w:val="72B27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588A"/>
    <w:multiLevelType w:val="hybridMultilevel"/>
    <w:tmpl w:val="E1D2F90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462761"/>
    <w:multiLevelType w:val="hybridMultilevel"/>
    <w:tmpl w:val="72B27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71942"/>
    <w:multiLevelType w:val="hybridMultilevel"/>
    <w:tmpl w:val="72B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5B6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D937993"/>
    <w:multiLevelType w:val="hybridMultilevel"/>
    <w:tmpl w:val="72B27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202DE"/>
    <w:multiLevelType w:val="hybridMultilevel"/>
    <w:tmpl w:val="72B27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A0461"/>
    <w:multiLevelType w:val="hybridMultilevel"/>
    <w:tmpl w:val="510A6010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378"/>
    <w:multiLevelType w:val="hybridMultilevel"/>
    <w:tmpl w:val="47EA4172"/>
    <w:lvl w:ilvl="0" w:tplc="24DC93A2">
      <w:start w:val="1"/>
      <w:numFmt w:val="decimal"/>
      <w:lvlText w:val="%1-"/>
      <w:lvlJc w:val="left"/>
      <w:pPr>
        <w:ind w:left="-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3" w15:restartNumberingAfterBreak="0">
    <w:nsid w:val="53704598"/>
    <w:multiLevelType w:val="hybridMultilevel"/>
    <w:tmpl w:val="29EE14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231B5D"/>
    <w:multiLevelType w:val="hybridMultilevel"/>
    <w:tmpl w:val="2F346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957F8"/>
    <w:multiLevelType w:val="hybridMultilevel"/>
    <w:tmpl w:val="6CC65B52"/>
    <w:lvl w:ilvl="0" w:tplc="B44EB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D2EDB"/>
    <w:multiLevelType w:val="hybridMultilevel"/>
    <w:tmpl w:val="C4045A8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915CC"/>
    <w:multiLevelType w:val="hybridMultilevel"/>
    <w:tmpl w:val="B7E44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34631"/>
    <w:multiLevelType w:val="hybridMultilevel"/>
    <w:tmpl w:val="29EE143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2E0ACD"/>
    <w:multiLevelType w:val="hybridMultilevel"/>
    <w:tmpl w:val="09F8C4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725F7796"/>
    <w:multiLevelType w:val="hybridMultilevel"/>
    <w:tmpl w:val="0C1CE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005126"/>
    <w:multiLevelType w:val="hybridMultilevel"/>
    <w:tmpl w:val="B3B0DD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A23F4F"/>
    <w:multiLevelType w:val="hybridMultilevel"/>
    <w:tmpl w:val="7F4E5D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65352">
    <w:abstractNumId w:val="12"/>
  </w:num>
  <w:num w:numId="2" w16cid:durableId="856045295">
    <w:abstractNumId w:val="19"/>
  </w:num>
  <w:num w:numId="3" w16cid:durableId="957569046">
    <w:abstractNumId w:val="14"/>
  </w:num>
  <w:num w:numId="4" w16cid:durableId="1834031026">
    <w:abstractNumId w:val="17"/>
  </w:num>
  <w:num w:numId="5" w16cid:durableId="81920933">
    <w:abstractNumId w:val="11"/>
  </w:num>
  <w:num w:numId="6" w16cid:durableId="388308797">
    <w:abstractNumId w:val="20"/>
  </w:num>
  <w:num w:numId="7" w16cid:durableId="552278157">
    <w:abstractNumId w:val="1"/>
  </w:num>
  <w:num w:numId="8" w16cid:durableId="2037078107">
    <w:abstractNumId w:val="2"/>
  </w:num>
  <w:num w:numId="9" w16cid:durableId="2043939154">
    <w:abstractNumId w:val="16"/>
  </w:num>
  <w:num w:numId="10" w16cid:durableId="1083061923">
    <w:abstractNumId w:val="3"/>
  </w:num>
  <w:num w:numId="11" w16cid:durableId="1142039494">
    <w:abstractNumId w:val="15"/>
  </w:num>
  <w:num w:numId="12" w16cid:durableId="819080432">
    <w:abstractNumId w:val="22"/>
  </w:num>
  <w:num w:numId="13" w16cid:durableId="906841700">
    <w:abstractNumId w:val="0"/>
  </w:num>
  <w:num w:numId="14" w16cid:durableId="2073120520">
    <w:abstractNumId w:val="8"/>
  </w:num>
  <w:num w:numId="15" w16cid:durableId="1052994830">
    <w:abstractNumId w:val="21"/>
  </w:num>
  <w:num w:numId="16" w16cid:durableId="2124222765">
    <w:abstractNumId w:val="5"/>
  </w:num>
  <w:num w:numId="17" w16cid:durableId="411439549">
    <w:abstractNumId w:val="13"/>
  </w:num>
  <w:num w:numId="18" w16cid:durableId="851723967">
    <w:abstractNumId w:val="7"/>
  </w:num>
  <w:num w:numId="19" w16cid:durableId="33580269">
    <w:abstractNumId w:val="18"/>
  </w:num>
  <w:num w:numId="20" w16cid:durableId="947077497">
    <w:abstractNumId w:val="10"/>
  </w:num>
  <w:num w:numId="21" w16cid:durableId="1617982407">
    <w:abstractNumId w:val="9"/>
  </w:num>
  <w:num w:numId="22" w16cid:durableId="1710493770">
    <w:abstractNumId w:val="6"/>
  </w:num>
  <w:num w:numId="23" w16cid:durableId="120455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E1"/>
    <w:rsid w:val="00000A03"/>
    <w:rsid w:val="00007BEB"/>
    <w:rsid w:val="000118C7"/>
    <w:rsid w:val="000278C0"/>
    <w:rsid w:val="000376D2"/>
    <w:rsid w:val="00051C7F"/>
    <w:rsid w:val="0006239B"/>
    <w:rsid w:val="000662CE"/>
    <w:rsid w:val="000662FF"/>
    <w:rsid w:val="0008677C"/>
    <w:rsid w:val="000957FD"/>
    <w:rsid w:val="000A5271"/>
    <w:rsid w:val="000B5C37"/>
    <w:rsid w:val="000E52C8"/>
    <w:rsid w:val="00111E71"/>
    <w:rsid w:val="00113AA3"/>
    <w:rsid w:val="00141C85"/>
    <w:rsid w:val="00141C9C"/>
    <w:rsid w:val="001437B8"/>
    <w:rsid w:val="00145FF4"/>
    <w:rsid w:val="00153C55"/>
    <w:rsid w:val="001628A9"/>
    <w:rsid w:val="001635C5"/>
    <w:rsid w:val="00187C24"/>
    <w:rsid w:val="00191010"/>
    <w:rsid w:val="001A6A85"/>
    <w:rsid w:val="001B2BAF"/>
    <w:rsid w:val="001C052C"/>
    <w:rsid w:val="001C492E"/>
    <w:rsid w:val="001C5D91"/>
    <w:rsid w:val="001D14D2"/>
    <w:rsid w:val="001D62EE"/>
    <w:rsid w:val="001F273C"/>
    <w:rsid w:val="001F2DFE"/>
    <w:rsid w:val="0020242C"/>
    <w:rsid w:val="00202C6F"/>
    <w:rsid w:val="002127D9"/>
    <w:rsid w:val="002248F1"/>
    <w:rsid w:val="00227579"/>
    <w:rsid w:val="0023044B"/>
    <w:rsid w:val="002367ED"/>
    <w:rsid w:val="0025231A"/>
    <w:rsid w:val="00252BBF"/>
    <w:rsid w:val="00267F5D"/>
    <w:rsid w:val="0027111B"/>
    <w:rsid w:val="00281377"/>
    <w:rsid w:val="002A32BC"/>
    <w:rsid w:val="002B1DDC"/>
    <w:rsid w:val="002B50E2"/>
    <w:rsid w:val="002C201E"/>
    <w:rsid w:val="002C5383"/>
    <w:rsid w:val="002D547F"/>
    <w:rsid w:val="002E27D2"/>
    <w:rsid w:val="002F0948"/>
    <w:rsid w:val="00300578"/>
    <w:rsid w:val="003073C1"/>
    <w:rsid w:val="0031114E"/>
    <w:rsid w:val="00326CEB"/>
    <w:rsid w:val="00331785"/>
    <w:rsid w:val="003333FB"/>
    <w:rsid w:val="00353EFD"/>
    <w:rsid w:val="0036557F"/>
    <w:rsid w:val="00381782"/>
    <w:rsid w:val="0038668A"/>
    <w:rsid w:val="00395ADB"/>
    <w:rsid w:val="003968AB"/>
    <w:rsid w:val="003A6B63"/>
    <w:rsid w:val="003A7568"/>
    <w:rsid w:val="003B0F9A"/>
    <w:rsid w:val="003B6A3D"/>
    <w:rsid w:val="003C0705"/>
    <w:rsid w:val="003C39C0"/>
    <w:rsid w:val="003C4556"/>
    <w:rsid w:val="003D0A31"/>
    <w:rsid w:val="003D2484"/>
    <w:rsid w:val="003F4439"/>
    <w:rsid w:val="003F7B92"/>
    <w:rsid w:val="0042253D"/>
    <w:rsid w:val="0042267A"/>
    <w:rsid w:val="00425343"/>
    <w:rsid w:val="00433377"/>
    <w:rsid w:val="00442DAF"/>
    <w:rsid w:val="004454F4"/>
    <w:rsid w:val="0047177E"/>
    <w:rsid w:val="00476506"/>
    <w:rsid w:val="00480B7D"/>
    <w:rsid w:val="004A5AA7"/>
    <w:rsid w:val="004B24A7"/>
    <w:rsid w:val="004B45CB"/>
    <w:rsid w:val="004B77C9"/>
    <w:rsid w:val="004C7E8C"/>
    <w:rsid w:val="004E0BEE"/>
    <w:rsid w:val="004F2CBC"/>
    <w:rsid w:val="00502CF1"/>
    <w:rsid w:val="00512870"/>
    <w:rsid w:val="00512DED"/>
    <w:rsid w:val="00517C92"/>
    <w:rsid w:val="00534C9D"/>
    <w:rsid w:val="00552DB9"/>
    <w:rsid w:val="00573B10"/>
    <w:rsid w:val="00573DE7"/>
    <w:rsid w:val="00576392"/>
    <w:rsid w:val="00582B62"/>
    <w:rsid w:val="00587B18"/>
    <w:rsid w:val="00590209"/>
    <w:rsid w:val="00597D67"/>
    <w:rsid w:val="005A0FB7"/>
    <w:rsid w:val="005B3DA6"/>
    <w:rsid w:val="005C0A01"/>
    <w:rsid w:val="005C2547"/>
    <w:rsid w:val="005C2762"/>
    <w:rsid w:val="005D6E81"/>
    <w:rsid w:val="005D7386"/>
    <w:rsid w:val="00602EF4"/>
    <w:rsid w:val="006060C2"/>
    <w:rsid w:val="00612F82"/>
    <w:rsid w:val="00617791"/>
    <w:rsid w:val="0065239D"/>
    <w:rsid w:val="00653A86"/>
    <w:rsid w:val="00655D1C"/>
    <w:rsid w:val="00660A23"/>
    <w:rsid w:val="00664630"/>
    <w:rsid w:val="00674B42"/>
    <w:rsid w:val="0067544E"/>
    <w:rsid w:val="006807E8"/>
    <w:rsid w:val="0069607D"/>
    <w:rsid w:val="00697A0E"/>
    <w:rsid w:val="006C0046"/>
    <w:rsid w:val="006C20C7"/>
    <w:rsid w:val="006C3FFE"/>
    <w:rsid w:val="006C5C05"/>
    <w:rsid w:val="006D2007"/>
    <w:rsid w:val="006E208B"/>
    <w:rsid w:val="006F1F82"/>
    <w:rsid w:val="006F2486"/>
    <w:rsid w:val="006F79B3"/>
    <w:rsid w:val="0070093A"/>
    <w:rsid w:val="00716A03"/>
    <w:rsid w:val="007276BB"/>
    <w:rsid w:val="00731BCD"/>
    <w:rsid w:val="007335F0"/>
    <w:rsid w:val="00737323"/>
    <w:rsid w:val="00740D05"/>
    <w:rsid w:val="007436DA"/>
    <w:rsid w:val="00745381"/>
    <w:rsid w:val="007465C9"/>
    <w:rsid w:val="00766073"/>
    <w:rsid w:val="0076641E"/>
    <w:rsid w:val="00766C8B"/>
    <w:rsid w:val="00781417"/>
    <w:rsid w:val="007B2AA7"/>
    <w:rsid w:val="007B34BD"/>
    <w:rsid w:val="007C1463"/>
    <w:rsid w:val="007D6450"/>
    <w:rsid w:val="007E1E2B"/>
    <w:rsid w:val="007E6F31"/>
    <w:rsid w:val="007E7195"/>
    <w:rsid w:val="007F69B7"/>
    <w:rsid w:val="008112BA"/>
    <w:rsid w:val="0081501F"/>
    <w:rsid w:val="00816C3E"/>
    <w:rsid w:val="0081754E"/>
    <w:rsid w:val="008439B0"/>
    <w:rsid w:val="008460C0"/>
    <w:rsid w:val="00867AFC"/>
    <w:rsid w:val="008773E8"/>
    <w:rsid w:val="008829C9"/>
    <w:rsid w:val="008B4018"/>
    <w:rsid w:val="008B4563"/>
    <w:rsid w:val="008B4EE1"/>
    <w:rsid w:val="008D4CFF"/>
    <w:rsid w:val="008D698C"/>
    <w:rsid w:val="008E1BE3"/>
    <w:rsid w:val="008F0F21"/>
    <w:rsid w:val="00921F94"/>
    <w:rsid w:val="00925768"/>
    <w:rsid w:val="00930BC8"/>
    <w:rsid w:val="00940E9A"/>
    <w:rsid w:val="00956787"/>
    <w:rsid w:val="0095688E"/>
    <w:rsid w:val="00972387"/>
    <w:rsid w:val="0097653B"/>
    <w:rsid w:val="0098143B"/>
    <w:rsid w:val="00986F0E"/>
    <w:rsid w:val="0099060F"/>
    <w:rsid w:val="009A2977"/>
    <w:rsid w:val="009B5AE9"/>
    <w:rsid w:val="009C3233"/>
    <w:rsid w:val="009D6A36"/>
    <w:rsid w:val="009E167F"/>
    <w:rsid w:val="009E5E1D"/>
    <w:rsid w:val="00A071CC"/>
    <w:rsid w:val="00A1547F"/>
    <w:rsid w:val="00A264D3"/>
    <w:rsid w:val="00A377A5"/>
    <w:rsid w:val="00A42836"/>
    <w:rsid w:val="00A448C4"/>
    <w:rsid w:val="00A50955"/>
    <w:rsid w:val="00A53620"/>
    <w:rsid w:val="00A5406B"/>
    <w:rsid w:val="00A54F48"/>
    <w:rsid w:val="00A62199"/>
    <w:rsid w:val="00A63717"/>
    <w:rsid w:val="00A6787F"/>
    <w:rsid w:val="00A722E1"/>
    <w:rsid w:val="00A87F29"/>
    <w:rsid w:val="00A93C2A"/>
    <w:rsid w:val="00A96A7B"/>
    <w:rsid w:val="00AA5334"/>
    <w:rsid w:val="00AB419B"/>
    <w:rsid w:val="00AB589E"/>
    <w:rsid w:val="00AB5996"/>
    <w:rsid w:val="00AC7D3A"/>
    <w:rsid w:val="00AD2429"/>
    <w:rsid w:val="00AD55FD"/>
    <w:rsid w:val="00AE3B10"/>
    <w:rsid w:val="00AE69BF"/>
    <w:rsid w:val="00AF27C3"/>
    <w:rsid w:val="00B0497E"/>
    <w:rsid w:val="00B06A00"/>
    <w:rsid w:val="00B14DF7"/>
    <w:rsid w:val="00B3456A"/>
    <w:rsid w:val="00B37A43"/>
    <w:rsid w:val="00B600A4"/>
    <w:rsid w:val="00B73D34"/>
    <w:rsid w:val="00B82258"/>
    <w:rsid w:val="00B860AE"/>
    <w:rsid w:val="00B913A6"/>
    <w:rsid w:val="00B968EF"/>
    <w:rsid w:val="00B9696C"/>
    <w:rsid w:val="00BB45CB"/>
    <w:rsid w:val="00BB6D2A"/>
    <w:rsid w:val="00BC7EE1"/>
    <w:rsid w:val="00BD0913"/>
    <w:rsid w:val="00BD23EB"/>
    <w:rsid w:val="00BD2A89"/>
    <w:rsid w:val="00BD4FDE"/>
    <w:rsid w:val="00BE0CA0"/>
    <w:rsid w:val="00BE548B"/>
    <w:rsid w:val="00BF26B4"/>
    <w:rsid w:val="00BF2A5A"/>
    <w:rsid w:val="00C049CB"/>
    <w:rsid w:val="00C134E0"/>
    <w:rsid w:val="00C15E49"/>
    <w:rsid w:val="00C23459"/>
    <w:rsid w:val="00C31374"/>
    <w:rsid w:val="00C33039"/>
    <w:rsid w:val="00C35907"/>
    <w:rsid w:val="00C42A76"/>
    <w:rsid w:val="00C51649"/>
    <w:rsid w:val="00C53957"/>
    <w:rsid w:val="00C67B27"/>
    <w:rsid w:val="00C81470"/>
    <w:rsid w:val="00CA5C1F"/>
    <w:rsid w:val="00CA7078"/>
    <w:rsid w:val="00CB62D5"/>
    <w:rsid w:val="00CC25D0"/>
    <w:rsid w:val="00CD5D08"/>
    <w:rsid w:val="00CD6DE9"/>
    <w:rsid w:val="00D06AEC"/>
    <w:rsid w:val="00D171B6"/>
    <w:rsid w:val="00D34965"/>
    <w:rsid w:val="00D36EB4"/>
    <w:rsid w:val="00D37C5B"/>
    <w:rsid w:val="00D5641F"/>
    <w:rsid w:val="00D63630"/>
    <w:rsid w:val="00D72319"/>
    <w:rsid w:val="00D73117"/>
    <w:rsid w:val="00D7483B"/>
    <w:rsid w:val="00D9188C"/>
    <w:rsid w:val="00D923ED"/>
    <w:rsid w:val="00D93982"/>
    <w:rsid w:val="00DA2BC7"/>
    <w:rsid w:val="00DC6183"/>
    <w:rsid w:val="00DC751E"/>
    <w:rsid w:val="00DF133A"/>
    <w:rsid w:val="00DF4A90"/>
    <w:rsid w:val="00DF4B75"/>
    <w:rsid w:val="00E04951"/>
    <w:rsid w:val="00E30E89"/>
    <w:rsid w:val="00E310E7"/>
    <w:rsid w:val="00E37F21"/>
    <w:rsid w:val="00E65E28"/>
    <w:rsid w:val="00E67063"/>
    <w:rsid w:val="00E71932"/>
    <w:rsid w:val="00E7353C"/>
    <w:rsid w:val="00E772C9"/>
    <w:rsid w:val="00E77B76"/>
    <w:rsid w:val="00E80B45"/>
    <w:rsid w:val="00E81A97"/>
    <w:rsid w:val="00E85B8E"/>
    <w:rsid w:val="00E86786"/>
    <w:rsid w:val="00E91BBF"/>
    <w:rsid w:val="00E96DDF"/>
    <w:rsid w:val="00EA039D"/>
    <w:rsid w:val="00EA25EC"/>
    <w:rsid w:val="00EA3284"/>
    <w:rsid w:val="00ED7DF9"/>
    <w:rsid w:val="00EE09D8"/>
    <w:rsid w:val="00F02A63"/>
    <w:rsid w:val="00F239E9"/>
    <w:rsid w:val="00F26792"/>
    <w:rsid w:val="00F27902"/>
    <w:rsid w:val="00F34C1E"/>
    <w:rsid w:val="00F57A11"/>
    <w:rsid w:val="00F57FE8"/>
    <w:rsid w:val="00F60A1E"/>
    <w:rsid w:val="00F74574"/>
    <w:rsid w:val="00F814C8"/>
    <w:rsid w:val="00FB5DCB"/>
    <w:rsid w:val="00FC64F2"/>
    <w:rsid w:val="00FD5D88"/>
    <w:rsid w:val="00FD7239"/>
    <w:rsid w:val="00FE34A0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9AE937"/>
  <w15:docId w15:val="{0D597C17-46F4-4A9A-A20A-DB41510B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sz w:val="24"/>
      <w:szCs w:val="24"/>
    </w:rPr>
  </w:style>
  <w:style w:type="paragraph" w:styleId="Ttulo1">
    <w:name w:val="heading 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3367D"/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character" w:customStyle="1" w:styleId="CabealhoChar">
    <w:name w:val="Cabeçalho Char"/>
    <w:link w:val="Cabealho"/>
    <w:uiPriority w:val="99"/>
    <w:rsid w:val="00660A23"/>
    <w:rPr>
      <w:sz w:val="24"/>
      <w:szCs w:val="24"/>
    </w:rPr>
  </w:style>
  <w:style w:type="paragraph" w:styleId="Textodebalo">
    <w:name w:val="Balloon Text"/>
    <w:basedOn w:val="Normal"/>
    <w:link w:val="TextodebaloChar"/>
    <w:rsid w:val="00660A2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60A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8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character" w:styleId="Hyperlink">
    <w:name w:val="Hyperlink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02EF4"/>
  </w:style>
  <w:style w:type="paragraph" w:customStyle="1" w:styleId="Ttulo10">
    <w:name w:val="Título1"/>
    <w:basedOn w:val="Normal"/>
    <w:next w:val="Corpodetexto"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6F79B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F79B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F79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F79B3"/>
    <w:rPr>
      <w:sz w:val="24"/>
      <w:szCs w:val="24"/>
    </w:r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25A704-E31D-A644-A350-C0B5DB62A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de ementa para as cinco primeiras aulas da parte prática da disciplina Química Biológica do curso de Biofísica</vt:lpstr>
      <vt:lpstr>Proposta de ementa para as cinco primeiras aulas da parte prática da disciplina Química Biológica do curso de Biofísica</vt:lpstr>
    </vt:vector>
  </TitlesOfParts>
  <Company>home</Company>
  <LinksUpToDate>false</LinksUpToDate>
  <CharactersWithSpaces>5400</CharactersWithSpaces>
  <SharedDoc>false</SharedDoc>
  <HLinks>
    <vt:vector size="6" baseType="variant">
      <vt:variant>
        <vt:i4>4718608</vt:i4>
      </vt:variant>
      <vt:variant>
        <vt:i4>-1</vt:i4>
      </vt:variant>
      <vt:variant>
        <vt:i4>2049</vt:i4>
      </vt:variant>
      <vt:variant>
        <vt:i4>1</vt:i4>
      </vt:variant>
      <vt:variant>
        <vt:lpwstr>Minerva2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3</cp:revision>
  <cp:lastPrinted>2016-11-23T17:42:00Z</cp:lastPrinted>
  <dcterms:created xsi:type="dcterms:W3CDTF">2024-10-26T23:52:00Z</dcterms:created>
  <dcterms:modified xsi:type="dcterms:W3CDTF">2024-10-27T19:24:00Z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ContentTypeId">
    <vt:lpwstr>0x01010025EE7934F9523D459B6368F7A94506C2</vt:lpwstr>
  </property>
</Properties>
</file>