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635"/>
        <w:gridCol w:w="637"/>
        <w:gridCol w:w="637"/>
        <w:gridCol w:w="1922"/>
      </w:tblGrid>
      <w:tr w:rsidR="004E78A3" w:rsidRPr="00BA1E54" w14:paraId="3D40E7CF" w14:textId="77777777" w:rsidTr="00331A5C">
        <w:trPr>
          <w:trHeight w:val="79"/>
          <w:jc w:val="center"/>
        </w:trPr>
        <w:tc>
          <w:tcPr>
            <w:tcW w:w="9638" w:type="dxa"/>
            <w:gridSpan w:val="5"/>
            <w:shd w:val="clear" w:color="auto" w:fill="E7E6E6" w:themeFill="background2"/>
            <w:vAlign w:val="center"/>
          </w:tcPr>
          <w:p w14:paraId="6A7C4A72" w14:textId="1CC9077B" w:rsidR="004E78A3" w:rsidRPr="00BA1E54" w:rsidRDefault="004E78A3" w:rsidP="007B36E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BA1E54">
              <w:rPr>
                <w:rFonts w:asciiTheme="minorHAnsi" w:hAnsiTheme="minorHAnsi" w:cstheme="minorHAnsi"/>
                <w:b/>
                <w:bCs/>
              </w:rPr>
              <w:t>1. INTRODUÇÃO</w:t>
            </w:r>
          </w:p>
        </w:tc>
      </w:tr>
      <w:tr w:rsidR="004E78A3" w:rsidRPr="00BA1E54" w14:paraId="39046755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89583E7" w14:textId="5A1DFCCE" w:rsidR="001D2F88" w:rsidRPr="001D2F88" w:rsidRDefault="001D2F88" w:rsidP="001D2F88">
            <w:pPr>
              <w:spacing w:before="40" w:after="4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1D2F88">
              <w:rPr>
                <w:rFonts w:asciiTheme="minorHAnsi" w:hAnsiTheme="minorHAnsi" w:cstheme="minorHAnsi"/>
              </w:rPr>
              <w:t>Esse Relatório de Autoavaliação tem o objetivo de otimizar os procedimentos de vistoria da CSQ-IQ, de forma a agilizar a identificação dos riscos do ambiente laboral e os trâmites dos processos administrativos da política do IQ para aquisição, armazenamento e utilização de produtos químicos controlados pela Polícia Federal</w:t>
            </w:r>
            <w:r w:rsidR="00E96F8F">
              <w:rPr>
                <w:rFonts w:asciiTheme="minorHAnsi" w:hAnsiTheme="minorHAnsi" w:cstheme="minorHAnsi"/>
              </w:rPr>
              <w:t xml:space="preserve"> (PF)</w:t>
            </w:r>
            <w:r w:rsidRPr="001D2F88">
              <w:rPr>
                <w:rFonts w:asciiTheme="minorHAnsi" w:hAnsiTheme="minorHAnsi" w:cstheme="minorHAnsi"/>
              </w:rPr>
              <w:t xml:space="preserve"> e pelo Exército</w:t>
            </w:r>
            <w:r w:rsidR="00E96F8F">
              <w:rPr>
                <w:rFonts w:asciiTheme="minorHAnsi" w:hAnsiTheme="minorHAnsi" w:cstheme="minorHAnsi"/>
              </w:rPr>
              <w:t xml:space="preserve"> Brasileiro (EB)</w:t>
            </w:r>
            <w:r w:rsidR="002D2A93">
              <w:rPr>
                <w:rFonts w:asciiTheme="minorHAnsi" w:hAnsiTheme="minorHAnsi" w:cstheme="minorHAnsi"/>
              </w:rPr>
              <w:t>, bem como de não ocasionar atrasos nas atividades do laboratório.</w:t>
            </w:r>
          </w:p>
          <w:p w14:paraId="76667C6E" w14:textId="19738CCE" w:rsidR="001D2F88" w:rsidRDefault="001D2F88" w:rsidP="00672BCF">
            <w:pPr>
              <w:spacing w:before="40" w:after="4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1D2F88">
              <w:rPr>
                <w:rFonts w:asciiTheme="minorHAnsi" w:hAnsiTheme="minorHAnsi" w:cstheme="minorHAnsi"/>
              </w:rPr>
              <w:t xml:space="preserve">O responsável pelo laboratório deve preencher o Relatório de </w:t>
            </w:r>
            <w:r w:rsidR="0093293C">
              <w:rPr>
                <w:rFonts w:asciiTheme="minorHAnsi" w:hAnsiTheme="minorHAnsi" w:cstheme="minorHAnsi"/>
              </w:rPr>
              <w:t>Autoa</w:t>
            </w:r>
            <w:r w:rsidRPr="001D2F88">
              <w:rPr>
                <w:rFonts w:asciiTheme="minorHAnsi" w:hAnsiTheme="minorHAnsi" w:cstheme="minorHAnsi"/>
              </w:rPr>
              <w:t>valiação d</w:t>
            </w:r>
            <w:r w:rsidR="0093293C">
              <w:rPr>
                <w:rFonts w:asciiTheme="minorHAnsi" w:hAnsiTheme="minorHAnsi" w:cstheme="minorHAnsi"/>
              </w:rPr>
              <w:t>as Condições de</w:t>
            </w:r>
            <w:r w:rsidRPr="001D2F88">
              <w:rPr>
                <w:rFonts w:asciiTheme="minorHAnsi" w:hAnsiTheme="minorHAnsi" w:cstheme="minorHAnsi"/>
              </w:rPr>
              <w:t xml:space="preserve"> Segurança do Laboratório, comprometendo</w:t>
            </w:r>
            <w:r w:rsidR="000025DF">
              <w:rPr>
                <w:rFonts w:asciiTheme="minorHAnsi" w:hAnsiTheme="minorHAnsi" w:cstheme="minorHAnsi"/>
              </w:rPr>
              <w:t>-se</w:t>
            </w:r>
            <w:r w:rsidRPr="001D2F88">
              <w:rPr>
                <w:rFonts w:asciiTheme="minorHAnsi" w:hAnsiTheme="minorHAnsi" w:cstheme="minorHAnsi"/>
              </w:rPr>
              <w:t xml:space="preserve"> a cumprir normas de segurança </w:t>
            </w:r>
            <w:r w:rsidR="00333CC9">
              <w:rPr>
                <w:rFonts w:asciiTheme="minorHAnsi" w:hAnsiTheme="minorHAnsi" w:cstheme="minorHAnsi"/>
              </w:rPr>
              <w:t>para</w:t>
            </w:r>
            <w:r w:rsidRPr="001D2F88">
              <w:rPr>
                <w:rFonts w:asciiTheme="minorHAnsi" w:hAnsiTheme="minorHAnsi" w:cstheme="minorHAnsi"/>
              </w:rPr>
              <w:t xml:space="preserve"> laboratório</w:t>
            </w:r>
            <w:r w:rsidR="00333CC9">
              <w:rPr>
                <w:rFonts w:asciiTheme="minorHAnsi" w:hAnsiTheme="minorHAnsi" w:cstheme="minorHAnsi"/>
              </w:rPr>
              <w:t>s</w:t>
            </w:r>
            <w:r w:rsidRPr="001D2F88">
              <w:rPr>
                <w:rFonts w:asciiTheme="minorHAnsi" w:hAnsiTheme="minorHAnsi" w:cstheme="minorHAnsi"/>
              </w:rPr>
              <w:t xml:space="preserve"> (segurança química/biossegurança) vigentes e assumi</w:t>
            </w:r>
            <w:r w:rsidR="002D2A93">
              <w:rPr>
                <w:rFonts w:asciiTheme="minorHAnsi" w:hAnsiTheme="minorHAnsi" w:cstheme="minorHAnsi"/>
              </w:rPr>
              <w:t>r</w:t>
            </w:r>
            <w:r w:rsidRPr="001D2F88">
              <w:rPr>
                <w:rFonts w:asciiTheme="minorHAnsi" w:hAnsiTheme="minorHAnsi" w:cstheme="minorHAnsi"/>
              </w:rPr>
              <w:t xml:space="preserve"> a responsabilidade pela prevenção de riscos que possam ser provocados por suas atividades de ensino-pesquisa-extensão no local.</w:t>
            </w:r>
          </w:p>
          <w:p w14:paraId="710DBF45" w14:textId="77777777" w:rsidR="00B02A6B" w:rsidRDefault="00ED5FF3" w:rsidP="00672BCF">
            <w:pPr>
              <w:spacing w:before="40" w:after="4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Após </w:t>
            </w:r>
            <w:r w:rsidR="002D2A93">
              <w:rPr>
                <w:rFonts w:asciiTheme="minorHAnsi" w:hAnsiTheme="minorHAnsi" w:cstheme="minorHAnsi"/>
              </w:rPr>
              <w:t xml:space="preserve">a aprovação desse </w:t>
            </w:r>
            <w:r w:rsidR="002D2A93" w:rsidRPr="001D2F88">
              <w:rPr>
                <w:rFonts w:asciiTheme="minorHAnsi" w:hAnsiTheme="minorHAnsi" w:cstheme="minorHAnsi"/>
              </w:rPr>
              <w:t xml:space="preserve">Relatório de </w:t>
            </w:r>
            <w:r w:rsidR="002D2A93">
              <w:rPr>
                <w:rFonts w:asciiTheme="minorHAnsi" w:hAnsiTheme="minorHAnsi" w:cstheme="minorHAnsi"/>
              </w:rPr>
              <w:t>Autoa</w:t>
            </w:r>
            <w:r w:rsidR="002D2A93" w:rsidRPr="001D2F88">
              <w:rPr>
                <w:rFonts w:asciiTheme="minorHAnsi" w:hAnsiTheme="minorHAnsi" w:cstheme="minorHAnsi"/>
              </w:rPr>
              <w:t xml:space="preserve">valiação </w:t>
            </w:r>
            <w:r w:rsidR="002D2A93">
              <w:rPr>
                <w:rFonts w:asciiTheme="minorHAnsi" w:hAnsiTheme="minorHAnsi" w:cstheme="minorHAnsi"/>
              </w:rPr>
              <w:t>pela CSQ-IQ</w:t>
            </w:r>
            <w:r w:rsidRPr="00ED5FF3">
              <w:rPr>
                <w:rFonts w:asciiTheme="minorHAnsi" w:hAnsiTheme="minorHAnsi" w:cstheme="minorHAnsi"/>
              </w:rPr>
              <w:t xml:space="preserve">, </w:t>
            </w:r>
            <w:r w:rsidR="00B02A6B">
              <w:rPr>
                <w:rFonts w:asciiTheme="minorHAnsi" w:hAnsiTheme="minorHAnsi" w:cstheme="minorHAnsi"/>
              </w:rPr>
              <w:t>o</w:t>
            </w:r>
            <w:r w:rsidR="002D2A93">
              <w:rPr>
                <w:rFonts w:asciiTheme="minorHAnsi" w:hAnsiTheme="minorHAnsi" w:cstheme="minorHAnsi"/>
              </w:rPr>
              <w:t xml:space="preserve"> laboratório</w:t>
            </w:r>
            <w:r w:rsidR="00B02A6B">
              <w:rPr>
                <w:rFonts w:asciiTheme="minorHAnsi" w:hAnsiTheme="minorHAnsi" w:cstheme="minorHAnsi"/>
              </w:rPr>
              <w:t xml:space="preserve"> (seus docentes e servidores </w:t>
            </w:r>
            <w:r w:rsidR="002D2A93">
              <w:rPr>
                <w:rFonts w:asciiTheme="minorHAnsi" w:hAnsiTheme="minorHAnsi" w:cstheme="minorHAnsi"/>
              </w:rPr>
              <w:t xml:space="preserve">com matrícula </w:t>
            </w:r>
            <w:r w:rsidR="00B02A6B">
              <w:rPr>
                <w:rFonts w:asciiTheme="minorHAnsi" w:hAnsiTheme="minorHAnsi" w:cstheme="minorHAnsi"/>
              </w:rPr>
              <w:t xml:space="preserve">SIAPE </w:t>
            </w:r>
            <w:r w:rsidR="002D2A93">
              <w:rPr>
                <w:rFonts w:asciiTheme="minorHAnsi" w:hAnsiTheme="minorHAnsi" w:cstheme="minorHAnsi"/>
              </w:rPr>
              <w:t>ativa</w:t>
            </w:r>
            <w:r w:rsidR="00B02A6B">
              <w:rPr>
                <w:rFonts w:asciiTheme="minorHAnsi" w:hAnsiTheme="minorHAnsi" w:cstheme="minorHAnsi"/>
              </w:rPr>
              <w:t>, lotados no IQ-UFRJ) ficará habilitado para a</w:t>
            </w:r>
            <w:r w:rsidRPr="00ED5FF3">
              <w:rPr>
                <w:rFonts w:asciiTheme="minorHAnsi" w:hAnsiTheme="minorHAnsi" w:cstheme="minorHAnsi"/>
              </w:rPr>
              <w:t xml:space="preserve"> aquisição de produtos controlados pela PF e pelo EB</w:t>
            </w:r>
            <w:r w:rsidR="00B02A6B">
              <w:rPr>
                <w:rFonts w:asciiTheme="minorHAnsi" w:hAnsiTheme="minorHAnsi" w:cstheme="minorHAnsi"/>
              </w:rPr>
              <w:t>.</w:t>
            </w:r>
          </w:p>
          <w:p w14:paraId="11EFD67E" w14:textId="010E007F" w:rsidR="00ED5FF3" w:rsidRPr="00BA1E54" w:rsidRDefault="00B02A6B" w:rsidP="00672BCF">
            <w:pPr>
              <w:spacing w:before="40" w:after="4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Essa habilitação</w:t>
            </w:r>
            <w:r w:rsidR="00ED5FF3" w:rsidRPr="00ED5FF3">
              <w:rPr>
                <w:rFonts w:asciiTheme="minorHAnsi" w:hAnsiTheme="minorHAnsi" w:cstheme="minorHAnsi"/>
              </w:rPr>
              <w:t xml:space="preserve"> terá validade de 1 (um) ano</w:t>
            </w:r>
            <w:r>
              <w:rPr>
                <w:rFonts w:asciiTheme="minorHAnsi" w:hAnsiTheme="minorHAnsi" w:cstheme="minorHAnsi"/>
              </w:rPr>
              <w:t xml:space="preserve"> e</w:t>
            </w:r>
            <w:r w:rsidR="00ED5FF3" w:rsidRPr="00ED5FF3">
              <w:rPr>
                <w:rFonts w:asciiTheme="minorHAnsi" w:hAnsiTheme="minorHAnsi" w:cstheme="minorHAnsi"/>
              </w:rPr>
              <w:t xml:space="preserve"> a CSQ-IQ poderá vistoriar o laboratório </w:t>
            </w:r>
            <w:r w:rsidR="00ED5FF3" w:rsidRPr="00AF3F77">
              <w:rPr>
                <w:rFonts w:asciiTheme="minorHAnsi" w:hAnsiTheme="minorHAnsi" w:cstheme="minorHAnsi"/>
                <w:i/>
                <w:iCs/>
              </w:rPr>
              <w:t>in loco</w:t>
            </w:r>
            <w:r w:rsidR="00ED5FF3" w:rsidRPr="00ED5FF3">
              <w:rPr>
                <w:rFonts w:asciiTheme="minorHAnsi" w:hAnsiTheme="minorHAnsi" w:cstheme="minorHAnsi"/>
              </w:rPr>
              <w:t xml:space="preserve"> durante o período de vigência dessa habilitação caso seja necessário.</w:t>
            </w:r>
          </w:p>
        </w:tc>
      </w:tr>
      <w:tr w:rsidR="00331A5C" w:rsidRPr="00BA1E54" w14:paraId="657ABBFE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859BB7F" w14:textId="77777777" w:rsidR="00331A5C" w:rsidRPr="00BA1E54" w:rsidRDefault="00331A5C" w:rsidP="007B36E5">
            <w:pPr>
              <w:spacing w:before="40" w:after="4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6B82" w:rsidRPr="00BA1E54" w14:paraId="65B49FB8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top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546C9C4A" w14:textId="3D75DD26" w:rsidR="000E6B82" w:rsidRPr="00BA1E54" w:rsidRDefault="004E78A3" w:rsidP="007B36E5">
            <w:pPr>
              <w:pStyle w:val="Rodap"/>
              <w:spacing w:before="40" w:after="40"/>
              <w:rPr>
                <w:rFonts w:cstheme="minorHAnsi"/>
                <w:color w:val="000000"/>
              </w:rPr>
            </w:pPr>
            <w:r w:rsidRPr="00BA1E54">
              <w:rPr>
                <w:rFonts w:eastAsia="Times New Roman" w:cstheme="minorHAnsi"/>
                <w:b/>
              </w:rPr>
              <w:t>2</w:t>
            </w:r>
            <w:r w:rsidR="00C976E8" w:rsidRPr="00BA1E54">
              <w:rPr>
                <w:rFonts w:eastAsia="Times New Roman" w:cstheme="minorHAnsi"/>
                <w:b/>
              </w:rPr>
              <w:t>. DADOS DO LABORATÓRIO</w:t>
            </w:r>
          </w:p>
        </w:tc>
      </w:tr>
      <w:tr w:rsidR="00C976E8" w:rsidRPr="00BA1E54" w14:paraId="4040ECFC" w14:textId="77777777" w:rsidTr="00331A5C">
        <w:trPr>
          <w:trHeight w:val="79"/>
          <w:jc w:val="center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7CBEA57A" w14:textId="1796E9DD" w:rsidR="007F0F23" w:rsidRDefault="00C976E8" w:rsidP="007B36E5">
            <w:pPr>
              <w:pStyle w:val="Rodap"/>
              <w:spacing w:before="40" w:after="40"/>
              <w:jc w:val="both"/>
              <w:rPr>
                <w:rFonts w:eastAsia="Times New Roman" w:cstheme="minorHAnsi"/>
              </w:rPr>
            </w:pPr>
            <w:r w:rsidRPr="00625A7F">
              <w:rPr>
                <w:rFonts w:eastAsia="Times New Roman" w:cstheme="minorHAnsi"/>
                <w:b/>
                <w:bCs/>
              </w:rPr>
              <w:t>Coordenador</w:t>
            </w:r>
            <w:r w:rsidR="004E5C43" w:rsidRPr="00625A7F">
              <w:rPr>
                <w:rFonts w:eastAsia="Times New Roman" w:cstheme="minorHAnsi"/>
                <w:b/>
                <w:bCs/>
              </w:rPr>
              <w:t>(es)</w:t>
            </w:r>
            <w:r w:rsidRPr="00625A7F">
              <w:rPr>
                <w:rFonts w:eastAsia="Times New Roman" w:cstheme="minorHAnsi"/>
                <w:b/>
                <w:bCs/>
              </w:rPr>
              <w:t xml:space="preserve"> do Laboratório</w:t>
            </w:r>
            <w:r w:rsidRPr="00625A7F">
              <w:rPr>
                <w:rFonts w:eastAsia="Times New Roman" w:cstheme="minorHAnsi"/>
              </w:rPr>
              <w:t>:</w:t>
            </w:r>
            <w:r w:rsidR="00E354D9" w:rsidRPr="00625A7F">
              <w:rPr>
                <w:rFonts w:eastAsia="Times New Roman" w:cstheme="minorHAnsi"/>
              </w:rPr>
              <w:t xml:space="preserve"> </w:t>
            </w:r>
            <w:r w:rsidR="00BE36D5" w:rsidRPr="00625A7F">
              <w:rPr>
                <w:rFonts w:eastAsia="Times New Roman" w:cstheme="minorHAnsi"/>
              </w:rPr>
              <w:t xml:space="preserve"> </w:t>
            </w:r>
            <w:r w:rsidR="007F0F23" w:rsidRPr="00625A7F">
              <w:rPr>
                <w:rFonts w:eastAsia="Times New Roman" w:cstheme="minorHAnsi"/>
              </w:rPr>
              <w:t>Prof</w:t>
            </w:r>
            <w:r w:rsidR="001626B5">
              <w:rPr>
                <w:rFonts w:eastAsia="Times New Roman" w:cstheme="minorHAnsi"/>
              </w:rPr>
              <w:t>.</w:t>
            </w:r>
            <w:r w:rsidR="007D0D65">
              <w:rPr>
                <w:rFonts w:eastAsia="Times New Roman" w:cstheme="minorHAnsi"/>
              </w:rPr>
              <w:t xml:space="preserve">(a) </w:t>
            </w:r>
            <w:r w:rsidR="007D0D65" w:rsidRPr="00C34F6C">
              <w:rPr>
                <w:rFonts w:eastAsia="Times New Roman" w:cstheme="minorHAnsi"/>
                <w:color w:val="AEAAAA" w:themeColor="background2" w:themeShade="BF"/>
              </w:rPr>
              <w:t xml:space="preserve">&lt;inserir </w:t>
            </w:r>
            <w:r w:rsidR="007D0D65">
              <w:rPr>
                <w:rFonts w:eastAsia="Times New Roman" w:cstheme="minorHAnsi"/>
                <w:color w:val="AEAAAA" w:themeColor="background2" w:themeShade="BF"/>
              </w:rPr>
              <w:t xml:space="preserve">nome do coordenador principal do </w:t>
            </w:r>
            <w:r w:rsidR="007D0D65" w:rsidRPr="00CA663B">
              <w:rPr>
                <w:rFonts w:eastAsia="Times New Roman" w:cstheme="minorHAnsi"/>
                <w:color w:val="AEAAAA" w:themeColor="background2" w:themeShade="BF"/>
              </w:rPr>
              <w:t>laboratório</w:t>
            </w:r>
            <w:r w:rsidR="00CA663B" w:rsidRPr="00CA663B">
              <w:rPr>
                <w:rFonts w:eastAsia="Times New Roman" w:cstheme="minorHAnsi"/>
                <w:color w:val="AEAAAA" w:themeColor="background2" w:themeShade="BF"/>
              </w:rPr>
              <w:t xml:space="preserve"> e a </w:t>
            </w:r>
            <w:r w:rsidR="007D0D65" w:rsidRPr="00CA663B">
              <w:rPr>
                <w:rFonts w:eastAsia="Times New Roman" w:cstheme="minorHAnsi"/>
                <w:color w:val="AEAAAA" w:themeColor="background2" w:themeShade="BF"/>
              </w:rPr>
              <w:t xml:space="preserve">sigla </w:t>
            </w:r>
            <w:r w:rsidR="007D0D65">
              <w:rPr>
                <w:rFonts w:eastAsia="Times New Roman" w:cstheme="minorHAnsi"/>
                <w:color w:val="AEAAAA" w:themeColor="background2" w:themeShade="BF"/>
              </w:rPr>
              <w:t>do departamento de origem</w:t>
            </w:r>
            <w:r w:rsidR="00CA663B">
              <w:rPr>
                <w:rFonts w:eastAsia="Times New Roman" w:cstheme="minorHAnsi"/>
                <w:color w:val="AEAAAA" w:themeColor="background2" w:themeShade="BF"/>
              </w:rPr>
              <w:t xml:space="preserve"> no IQ</w:t>
            </w:r>
            <w:r w:rsidR="007D0D65">
              <w:rPr>
                <w:rFonts w:eastAsia="Times New Roman" w:cstheme="minorHAnsi"/>
                <w:color w:val="AEAAAA" w:themeColor="background2" w:themeShade="BF"/>
              </w:rPr>
              <w:t>;</w:t>
            </w:r>
            <w:r w:rsidR="00CA663B">
              <w:rPr>
                <w:rFonts w:eastAsia="Times New Roman" w:cstheme="minorHAnsi"/>
                <w:color w:val="AEAAAA" w:themeColor="background2" w:themeShade="BF"/>
              </w:rPr>
              <w:t xml:space="preserve"> </w:t>
            </w:r>
            <w:r w:rsidR="00C34F6C" w:rsidRPr="00C34F6C">
              <w:rPr>
                <w:rFonts w:eastAsia="Times New Roman" w:cstheme="minorHAnsi"/>
                <w:color w:val="AEAAAA" w:themeColor="background2" w:themeShade="BF"/>
              </w:rPr>
              <w:t>&lt;inserir os nomes</w:t>
            </w:r>
            <w:r w:rsidR="00C34F6C">
              <w:rPr>
                <w:rFonts w:eastAsia="Times New Roman" w:cstheme="minorHAnsi"/>
                <w:color w:val="AEAAAA" w:themeColor="background2" w:themeShade="BF"/>
              </w:rPr>
              <w:t xml:space="preserve"> de outros coordenadores, se houver</w:t>
            </w:r>
            <w:r w:rsidR="007D0D65">
              <w:rPr>
                <w:rFonts w:eastAsia="Times New Roman" w:cstheme="minorHAnsi"/>
                <w:color w:val="AEAAAA" w:themeColor="background2" w:themeShade="BF"/>
              </w:rPr>
              <w:t>, e a sigla do departamento de origem</w:t>
            </w:r>
            <w:r w:rsidR="00C34F6C">
              <w:rPr>
                <w:rFonts w:eastAsia="Times New Roman" w:cstheme="minorHAnsi"/>
                <w:color w:val="AEAAAA" w:themeColor="background2" w:themeShade="BF"/>
              </w:rPr>
              <w:t>&gt;</w:t>
            </w:r>
          </w:p>
          <w:p w14:paraId="49A7AA66" w14:textId="6D0DF076" w:rsidR="009140E8" w:rsidRPr="00625A7F" w:rsidRDefault="007F0F23" w:rsidP="007B36E5">
            <w:pPr>
              <w:pStyle w:val="Rodap"/>
              <w:spacing w:before="40" w:after="40"/>
              <w:jc w:val="both"/>
              <w:rPr>
                <w:rFonts w:eastAsia="Times New Roman" w:cstheme="minorHAnsi"/>
              </w:rPr>
            </w:pPr>
            <w:r w:rsidRPr="00625A7F">
              <w:rPr>
                <w:rFonts w:eastAsia="Times New Roman" w:cstheme="minorHAnsi"/>
                <w:b/>
                <w:bCs/>
              </w:rPr>
              <w:t>Pesquisador(es) Principal(is</w:t>
            </w:r>
            <w:r>
              <w:rPr>
                <w:rFonts w:eastAsia="Times New Roman" w:cstheme="minorHAnsi"/>
                <w:b/>
                <w:bCs/>
              </w:rPr>
              <w:t>):</w:t>
            </w:r>
            <w:r w:rsidR="00BE36D5" w:rsidRPr="00625A7F">
              <w:rPr>
                <w:rFonts w:eastAsia="Times New Roman" w:cstheme="minorHAnsi"/>
              </w:rPr>
              <w:t xml:space="preserve"> </w:t>
            </w:r>
            <w:r w:rsidR="00C34F6C" w:rsidRPr="00C34F6C">
              <w:rPr>
                <w:rFonts w:eastAsia="Times New Roman" w:cstheme="minorHAnsi"/>
                <w:color w:val="AEAAAA" w:themeColor="background2" w:themeShade="BF"/>
              </w:rPr>
              <w:t>&lt;</w:t>
            </w:r>
            <w:r w:rsidR="007D0D65">
              <w:rPr>
                <w:rFonts w:eastAsia="Times New Roman" w:cstheme="minorHAnsi"/>
                <w:color w:val="AEAAAA" w:themeColor="background2" w:themeShade="BF"/>
              </w:rPr>
              <w:t xml:space="preserve">se houver, </w:t>
            </w:r>
            <w:r w:rsidR="00FA79E0" w:rsidRPr="00C34F6C">
              <w:rPr>
                <w:rFonts w:eastAsia="Times New Roman" w:cstheme="minorHAnsi"/>
                <w:color w:val="AEAAAA" w:themeColor="background2" w:themeShade="BF"/>
              </w:rPr>
              <w:t>inserir os nomes dos pesquisadores</w:t>
            </w:r>
            <w:r w:rsidR="000A1933" w:rsidRPr="00C34F6C">
              <w:rPr>
                <w:rFonts w:eastAsia="Times New Roman" w:cstheme="minorHAnsi"/>
                <w:color w:val="AEAAAA" w:themeColor="background2" w:themeShade="BF"/>
              </w:rPr>
              <w:t xml:space="preserve"> do </w:t>
            </w:r>
            <w:r w:rsidR="00C34F6C" w:rsidRPr="00C34F6C">
              <w:rPr>
                <w:rFonts w:eastAsia="Times New Roman" w:cstheme="minorHAnsi"/>
                <w:color w:val="AEAAAA" w:themeColor="background2" w:themeShade="BF"/>
              </w:rPr>
              <w:t>laboratório</w:t>
            </w:r>
            <w:r w:rsidR="00FA79E0" w:rsidRPr="00C34F6C">
              <w:rPr>
                <w:rFonts w:eastAsia="Times New Roman" w:cstheme="minorHAnsi"/>
                <w:color w:val="AEAAAA" w:themeColor="background2" w:themeShade="BF"/>
              </w:rPr>
              <w:t xml:space="preserve"> (docentes/técnicos) com SIAPE ATIVO </w:t>
            </w:r>
            <w:r w:rsidR="00C34F6C" w:rsidRPr="00C34F6C">
              <w:rPr>
                <w:rFonts w:eastAsia="Times New Roman" w:cstheme="minorHAnsi"/>
                <w:color w:val="AEAAAA" w:themeColor="background2" w:themeShade="BF"/>
              </w:rPr>
              <w:t>na</w:t>
            </w:r>
            <w:r w:rsidR="00FA79E0" w:rsidRPr="00C34F6C">
              <w:rPr>
                <w:rFonts w:eastAsia="Times New Roman" w:cstheme="minorHAnsi"/>
                <w:color w:val="AEAAAA" w:themeColor="background2" w:themeShade="BF"/>
              </w:rPr>
              <w:t xml:space="preserve"> UFRJ</w:t>
            </w:r>
            <w:r w:rsidR="00C34F6C" w:rsidRPr="00C34F6C">
              <w:rPr>
                <w:rFonts w:eastAsia="Times New Roman" w:cstheme="minorHAnsi"/>
                <w:color w:val="AEAAAA" w:themeColor="background2" w:themeShade="BF"/>
              </w:rPr>
              <w:t xml:space="preserve"> e lotados no IQ&gt;</w:t>
            </w:r>
          </w:p>
        </w:tc>
      </w:tr>
      <w:tr w:rsidR="00C976E8" w:rsidRPr="00BA1E54" w14:paraId="41DF76B1" w14:textId="77777777" w:rsidTr="00331A5C">
        <w:trPr>
          <w:trHeight w:val="79"/>
          <w:jc w:val="center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4D0E8A61" w14:textId="35E3A461" w:rsidR="007B36E5" w:rsidRPr="00BA1E54" w:rsidRDefault="00C976E8" w:rsidP="007B36E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BA1E54">
              <w:rPr>
                <w:rFonts w:asciiTheme="minorHAnsi" w:hAnsiTheme="minorHAnsi" w:cstheme="minorHAnsi"/>
                <w:b/>
                <w:bCs/>
              </w:rPr>
              <w:t>Identificação do Laboratório</w:t>
            </w:r>
            <w:r w:rsidRPr="00BA1E54">
              <w:rPr>
                <w:rFonts w:asciiTheme="minorHAnsi" w:hAnsiTheme="minorHAnsi" w:cstheme="minorHAnsi"/>
              </w:rPr>
              <w:t xml:space="preserve">: </w:t>
            </w:r>
            <w:r w:rsidR="00C34F6C" w:rsidRPr="00C34F6C">
              <w:rPr>
                <w:rFonts w:asciiTheme="minorHAnsi" w:hAnsiTheme="minorHAnsi" w:cstheme="minorHAnsi"/>
              </w:rPr>
              <w:t>Núcleo de Desenvolvimento de Processos e Análises Químicas em Tempo Real - NQTR</w:t>
            </w:r>
            <w:r w:rsidR="00B06EFB" w:rsidRPr="00B97732">
              <w:rPr>
                <w:rFonts w:asciiTheme="minorHAnsi" w:hAnsiTheme="minorHAnsi" w:cstheme="minorHAnsi"/>
              </w:rPr>
              <w:t xml:space="preserve">. </w:t>
            </w:r>
            <w:r w:rsidR="00B06EFB" w:rsidRPr="00C34F6C">
              <w:rPr>
                <w:rFonts w:asciiTheme="minorHAnsi" w:hAnsiTheme="minorHAnsi" w:cstheme="minorHAnsi"/>
              </w:rPr>
              <w:t>Funciona no local desde</w:t>
            </w:r>
            <w:r w:rsidR="00B06EFB" w:rsidRPr="001626B5">
              <w:rPr>
                <w:rFonts w:asciiTheme="minorHAnsi" w:hAnsiTheme="minorHAnsi" w:cstheme="minorHAnsi"/>
              </w:rPr>
              <w:t xml:space="preserve"> </w:t>
            </w:r>
            <w:r w:rsidR="00C34F6C" w:rsidRPr="00C34F6C">
              <w:rPr>
                <w:rFonts w:eastAsia="Times New Roman" w:cstheme="minorHAnsi"/>
                <w:color w:val="AEAAAA" w:themeColor="background2" w:themeShade="BF"/>
              </w:rPr>
              <w:t>&lt;inserir ano&gt;</w:t>
            </w:r>
            <w:r w:rsidR="00C34F6C" w:rsidRPr="00C34F6C">
              <w:rPr>
                <w:rFonts w:eastAsia="Times New Roman" w:cstheme="minorHAnsi"/>
              </w:rPr>
              <w:t>.</w:t>
            </w:r>
          </w:p>
        </w:tc>
      </w:tr>
      <w:tr w:rsidR="00C976E8" w:rsidRPr="00BA1E54" w14:paraId="60D610E8" w14:textId="77777777" w:rsidTr="00331A5C">
        <w:trPr>
          <w:trHeight w:val="79"/>
          <w:jc w:val="center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1821B980" w14:textId="398096BD" w:rsidR="007B36E5" w:rsidRPr="00BA1E54" w:rsidRDefault="00C976E8" w:rsidP="001626B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BA1E54">
              <w:rPr>
                <w:rFonts w:asciiTheme="minorHAnsi" w:hAnsiTheme="minorHAnsi" w:cstheme="minorHAnsi"/>
                <w:b/>
                <w:bCs/>
              </w:rPr>
              <w:t>Localização</w:t>
            </w:r>
            <w:r w:rsidRPr="00BA1E54">
              <w:rPr>
                <w:rFonts w:asciiTheme="minorHAnsi" w:hAnsiTheme="minorHAnsi" w:cstheme="minorHAnsi"/>
              </w:rPr>
              <w:t xml:space="preserve">: </w:t>
            </w:r>
            <w:r w:rsidR="001F0068" w:rsidRPr="001F0068">
              <w:rPr>
                <w:rFonts w:asciiTheme="minorHAnsi" w:hAnsiTheme="minorHAnsi" w:cstheme="minorHAnsi"/>
              </w:rPr>
              <w:t>Polo de Xistoquímica - Rua Hélio de Almeida, 40, Bloco B, sala  109 - Cidade Universitária</w:t>
            </w:r>
            <w:r w:rsidR="001F0068">
              <w:rPr>
                <w:rFonts w:asciiTheme="minorHAnsi" w:hAnsiTheme="minorHAnsi" w:cstheme="minorHAnsi"/>
              </w:rPr>
              <w:t xml:space="preserve"> </w:t>
            </w:r>
            <w:r w:rsidR="00C34F6C" w:rsidRPr="00C34F6C">
              <w:rPr>
                <w:rFonts w:asciiTheme="minorHAnsi" w:hAnsiTheme="minorHAnsi" w:cstheme="minorHAnsi"/>
              </w:rPr>
              <w:t xml:space="preserve">- </w:t>
            </w:r>
            <w:r w:rsidR="001F0068">
              <w:rPr>
                <w:rFonts w:asciiTheme="minorHAnsi" w:hAnsiTheme="minorHAnsi" w:cstheme="minorHAnsi"/>
              </w:rPr>
              <w:t>UFRJ</w:t>
            </w:r>
            <w:r w:rsidR="00C34F6C" w:rsidRPr="00C34F6C">
              <w:rPr>
                <w:rFonts w:asciiTheme="minorHAnsi" w:hAnsiTheme="minorHAnsi" w:cstheme="minorHAnsi"/>
              </w:rPr>
              <w:t xml:space="preserve">, Rio de Janeiro - RJ, </w:t>
            </w:r>
            <w:r w:rsidR="00C34F6C">
              <w:rPr>
                <w:rFonts w:asciiTheme="minorHAnsi" w:hAnsiTheme="minorHAnsi" w:cstheme="minorHAnsi"/>
              </w:rPr>
              <w:t xml:space="preserve">CEP: </w:t>
            </w:r>
            <w:r w:rsidR="00C34F6C" w:rsidRPr="00C34F6C">
              <w:rPr>
                <w:rFonts w:asciiTheme="minorHAnsi" w:hAnsiTheme="minorHAnsi" w:cstheme="minorHAnsi"/>
              </w:rPr>
              <w:t>21941-614</w:t>
            </w:r>
            <w:r w:rsidR="00C34F6C">
              <w:rPr>
                <w:rFonts w:asciiTheme="minorHAnsi" w:hAnsiTheme="minorHAnsi" w:cstheme="minorHAnsi"/>
              </w:rPr>
              <w:t>.</w:t>
            </w:r>
          </w:p>
        </w:tc>
      </w:tr>
      <w:tr w:rsidR="00C976E8" w:rsidRPr="00BA1E54" w14:paraId="0323CEA6" w14:textId="77777777" w:rsidTr="00331A5C">
        <w:trPr>
          <w:trHeight w:val="79"/>
          <w:jc w:val="center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50024BD3" w14:textId="1CA9FE48" w:rsidR="007B36E5" w:rsidRPr="007B36E5" w:rsidRDefault="00C976E8" w:rsidP="007B36E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BA1E54">
              <w:rPr>
                <w:rFonts w:asciiTheme="minorHAnsi" w:hAnsiTheme="minorHAnsi" w:cstheme="minorHAnsi"/>
                <w:b/>
                <w:bCs/>
              </w:rPr>
              <w:t>Contato (Tel./e-mail):</w:t>
            </w:r>
            <w:r w:rsidR="00E354D9" w:rsidRPr="00BA1E5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97D9E" w:rsidRPr="00497D9E">
              <w:rPr>
                <w:rFonts w:asciiTheme="minorHAnsi" w:hAnsiTheme="minorHAnsi" w:cstheme="minorHAnsi"/>
              </w:rPr>
              <w:t xml:space="preserve">+55 </w:t>
            </w:r>
            <w:r w:rsidR="00C34F6C" w:rsidRPr="00C34F6C">
              <w:rPr>
                <w:rFonts w:asciiTheme="minorHAnsi" w:hAnsiTheme="minorHAnsi" w:cstheme="minorHAnsi"/>
              </w:rPr>
              <w:t xml:space="preserve">(21) </w:t>
            </w:r>
            <w:r w:rsidR="007D0D65" w:rsidRPr="007D0D65">
              <w:rPr>
                <w:rFonts w:asciiTheme="minorHAnsi" w:hAnsiTheme="minorHAnsi" w:cstheme="minorHAnsi"/>
                <w:color w:val="AEAAAA" w:themeColor="background2" w:themeShade="BF"/>
              </w:rPr>
              <w:t>&lt;inserir telefone de contato&gt;</w:t>
            </w:r>
            <w:r w:rsidR="008E6400">
              <w:rPr>
                <w:rFonts w:asciiTheme="minorHAnsi" w:hAnsiTheme="minorHAnsi" w:cstheme="minorHAnsi"/>
              </w:rPr>
              <w:t xml:space="preserve">; </w:t>
            </w:r>
            <w:r w:rsidR="00C666A3" w:rsidRPr="00C34F6C">
              <w:rPr>
                <w:rFonts w:eastAsia="Times New Roman" w:cstheme="minorHAnsi"/>
                <w:color w:val="AEAAAA" w:themeColor="background2" w:themeShade="BF"/>
              </w:rPr>
              <w:t xml:space="preserve">inserir </w:t>
            </w:r>
            <w:r w:rsidR="007D0D65">
              <w:rPr>
                <w:rFonts w:eastAsia="Times New Roman" w:cstheme="minorHAnsi"/>
                <w:color w:val="AEAAAA" w:themeColor="background2" w:themeShade="BF"/>
              </w:rPr>
              <w:t xml:space="preserve">e-mail </w:t>
            </w:r>
            <w:r w:rsidR="00DA2D8B">
              <w:rPr>
                <w:rFonts w:eastAsia="Times New Roman" w:cstheme="minorHAnsi"/>
                <w:color w:val="AEAAAA" w:themeColor="background2" w:themeShade="BF"/>
              </w:rPr>
              <w:t>de contato</w:t>
            </w:r>
            <w:r w:rsidR="00C666A3" w:rsidRPr="00C34F6C">
              <w:rPr>
                <w:rFonts w:eastAsia="Times New Roman" w:cstheme="minorHAnsi"/>
                <w:color w:val="AEAAAA" w:themeColor="background2" w:themeShade="BF"/>
              </w:rPr>
              <w:t>&gt;</w:t>
            </w:r>
          </w:p>
        </w:tc>
      </w:tr>
      <w:tr w:rsidR="00C976E8" w:rsidRPr="00BA1E54" w14:paraId="6DDFCCEC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F201C05" w14:textId="718FEA96" w:rsidR="007B36E5" w:rsidRPr="00C70B85" w:rsidRDefault="00C976E8" w:rsidP="007B36E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C70B85">
              <w:rPr>
                <w:rFonts w:asciiTheme="minorHAnsi" w:hAnsiTheme="minorHAnsi" w:cstheme="minorHAnsi"/>
                <w:b/>
                <w:bCs/>
              </w:rPr>
              <w:t>Atividades</w:t>
            </w:r>
            <w:r w:rsidRPr="00C70B85">
              <w:rPr>
                <w:rFonts w:asciiTheme="minorHAnsi" w:hAnsiTheme="minorHAnsi" w:cstheme="minorHAnsi"/>
              </w:rPr>
              <w:t xml:space="preserve">: </w:t>
            </w:r>
            <w:r w:rsidR="005F30C1">
              <w:rPr>
                <w:rFonts w:asciiTheme="minorHAnsi" w:hAnsiTheme="minorHAnsi" w:cstheme="minorHAnsi"/>
              </w:rPr>
              <w:t>Laboratório de Pesquisa.</w:t>
            </w:r>
          </w:p>
        </w:tc>
      </w:tr>
      <w:tr w:rsidR="00331A5C" w:rsidRPr="00BA1E54" w14:paraId="3729147F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32C5797" w14:textId="77777777" w:rsidR="00331A5C" w:rsidRPr="00BA1E54" w:rsidRDefault="00331A5C" w:rsidP="007B36E5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31A5C" w:rsidRPr="00BA1E54" w14:paraId="5F24C5A1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top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9FE62E4" w14:textId="551E572A" w:rsidR="00331A5C" w:rsidRPr="00BA1E54" w:rsidRDefault="0044499F" w:rsidP="007B36E5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</w:rPr>
              <w:t>3</w:t>
            </w:r>
            <w:r w:rsidR="00331A5C" w:rsidRPr="00F16DAC">
              <w:rPr>
                <w:rFonts w:cstheme="minorHAnsi"/>
                <w:b/>
              </w:rPr>
              <w:t>. LISTA DE VERIFICAÇÃO DE SEGURANÇA DE LABORATÓRIO</w:t>
            </w:r>
          </w:p>
        </w:tc>
      </w:tr>
      <w:tr w:rsidR="00331A5C" w:rsidRPr="00BA1E54" w14:paraId="67372CD3" w14:textId="77777777" w:rsidTr="00331A5C">
        <w:trPr>
          <w:trHeight w:val="79"/>
          <w:jc w:val="center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129E8A95" w14:textId="3FF7D6A5" w:rsidR="00331A5C" w:rsidRPr="00BA1E54" w:rsidRDefault="00331A5C" w:rsidP="00331A5C">
            <w:pPr>
              <w:spacing w:before="40" w:after="40" w:line="240" w:lineRule="auto"/>
              <w:ind w:firstLine="745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t>A resposta a esse questionário é uma maneira fácil de avaliar a segurança de seu laboratório, permitindo que se identifique potenciais perigos que precisam ser devidamente gerenciados. Responda este questionário, pelo menos duas vezes por ano, e identifique operações e situações de alto risco que devem ser eliminadas ou devidamente gerenciadas para proporcionar um ambiente de trabalho seguro.</w:t>
            </w:r>
          </w:p>
        </w:tc>
      </w:tr>
      <w:tr w:rsidR="00B20101" w:rsidRPr="00F16DAC" w14:paraId="12430F3A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E7E6E6" w:themeFill="background2"/>
            <w:vAlign w:val="center"/>
          </w:tcPr>
          <w:p w14:paraId="4D6A7C02" w14:textId="6E2B5E42" w:rsidR="00B20101" w:rsidRPr="00F16DAC" w:rsidRDefault="0044499F" w:rsidP="00BE2F59">
            <w:pPr>
              <w:pStyle w:val="Rodap"/>
              <w:rPr>
                <w:rFonts w:cs="Calibri"/>
                <w:color w:val="000000"/>
                <w:vertAlign w:val="superscript"/>
              </w:rPr>
            </w:pPr>
            <w:r>
              <w:rPr>
                <w:rFonts w:cstheme="minorHAnsi"/>
                <w:b/>
              </w:rPr>
              <w:t>3</w:t>
            </w:r>
            <w:r w:rsidR="00331A5C" w:rsidRPr="00F16DAC">
              <w:rPr>
                <w:rFonts w:cstheme="minorHAnsi"/>
                <w:b/>
              </w:rPr>
              <w:t>.1 Treinamento e Documentação</w:t>
            </w:r>
          </w:p>
        </w:tc>
        <w:tc>
          <w:tcPr>
            <w:tcW w:w="635" w:type="dxa"/>
            <w:shd w:val="clear" w:color="auto" w:fill="E7E6E6" w:themeFill="background2"/>
            <w:vAlign w:val="center"/>
          </w:tcPr>
          <w:p w14:paraId="09243EC8" w14:textId="77777777" w:rsidR="00B20101" w:rsidRPr="00F16DAC" w:rsidRDefault="00B20101" w:rsidP="00BE2F59">
            <w:pPr>
              <w:pStyle w:val="Rodap"/>
              <w:jc w:val="center"/>
              <w:rPr>
                <w:rFonts w:cs="Calibri"/>
                <w:b/>
                <w:color w:val="000000"/>
              </w:rPr>
            </w:pPr>
            <w:r w:rsidRPr="00F16DAC">
              <w:rPr>
                <w:rFonts w:cstheme="minorHAnsi"/>
                <w:b/>
              </w:rPr>
              <w:t>Sim</w:t>
            </w: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4E894144" w14:textId="77777777" w:rsidR="00B20101" w:rsidRPr="00F16DAC" w:rsidRDefault="00B20101" w:rsidP="00BE2F59">
            <w:pPr>
              <w:pStyle w:val="Rodap"/>
              <w:jc w:val="center"/>
              <w:rPr>
                <w:rFonts w:cs="Calibri"/>
                <w:b/>
                <w:color w:val="000000"/>
              </w:rPr>
            </w:pPr>
            <w:r w:rsidRPr="00F16DAC">
              <w:rPr>
                <w:rFonts w:cstheme="minorHAnsi"/>
                <w:b/>
              </w:rPr>
              <w:t>Não</w:t>
            </w: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0299B9E7" w14:textId="77777777" w:rsidR="00B20101" w:rsidRPr="00F16DAC" w:rsidRDefault="00B20101" w:rsidP="00BE2F59">
            <w:pPr>
              <w:pStyle w:val="Rodap"/>
              <w:jc w:val="center"/>
              <w:rPr>
                <w:rFonts w:cs="Calibri"/>
                <w:b/>
                <w:color w:val="000000"/>
              </w:rPr>
            </w:pPr>
            <w:r w:rsidRPr="00F16DAC">
              <w:rPr>
                <w:rFonts w:cstheme="minorHAnsi"/>
                <w:b/>
              </w:rPr>
              <w:t>N/A</w:t>
            </w:r>
          </w:p>
        </w:tc>
        <w:tc>
          <w:tcPr>
            <w:tcW w:w="1922" w:type="dxa"/>
            <w:shd w:val="clear" w:color="auto" w:fill="E7E6E6" w:themeFill="background2"/>
          </w:tcPr>
          <w:p w14:paraId="5E7D917B" w14:textId="77777777" w:rsidR="00B20101" w:rsidRPr="00F16DAC" w:rsidRDefault="00B20101" w:rsidP="00BE2F59">
            <w:pPr>
              <w:pStyle w:val="Rodap"/>
              <w:jc w:val="center"/>
              <w:rPr>
                <w:rFonts w:cs="Calibri"/>
                <w:color w:val="000000"/>
              </w:rPr>
            </w:pPr>
            <w:r w:rsidRPr="00F16DAC">
              <w:rPr>
                <w:rFonts w:cstheme="minorHAnsi"/>
                <w:b/>
              </w:rPr>
              <w:t>COMENTÁRIOS</w:t>
            </w:r>
          </w:p>
        </w:tc>
      </w:tr>
      <w:tr w:rsidR="000512BB" w:rsidRPr="00F16DAC" w14:paraId="265E734E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53E146F" w14:textId="55FF199E" w:rsidR="000512BB" w:rsidRPr="00F16DAC" w:rsidRDefault="000512BB" w:rsidP="000512BB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inventário atualizado para todos os produtos perigosos?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9A2A8DC" w14:textId="0C34E262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034E527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847CBDA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5645D5B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5F89F6DD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FD5DC37" w14:textId="274EBE82" w:rsidR="000512BB" w:rsidRPr="00F16DAC" w:rsidRDefault="000512BB" w:rsidP="000512BB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  <w:r w:rsidRPr="00F16DAC">
              <w:rPr>
                <w:rFonts w:eastAsia="Times New Roman" w:cstheme="minorHAnsi"/>
                <w:sz w:val="20"/>
                <w:szCs w:val="20"/>
                <w:lang w:eastAsia="pt-BR"/>
              </w:rPr>
              <w:t>Há Fichas de Dados de Segurança (FDS) prontamente disponíveis em todos os momentos em que os usuários do laboratório estão presentes?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A6DFAD5" w14:textId="63DD8D7C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83C707B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1B3F3E2" w14:textId="2D3336F5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F9FC65E" w14:textId="502007A2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05D81224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6A3B582" w14:textId="672FCA4B" w:rsidR="000512BB" w:rsidRPr="00F16DAC" w:rsidRDefault="000512BB" w:rsidP="000512BB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lastRenderedPageBreak/>
              <w:t>Há avaliação e certificação de riscos no local de trabalho (Mapas de Risco)?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177280D" w14:textId="4589BD9D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3483CCF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551B2FB" w14:textId="60440E53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A4C2298" w14:textId="14FA455F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25EAD440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78BE6DC" w14:textId="7CDA6DE3" w:rsidR="009D4C03" w:rsidRPr="00F16DAC" w:rsidRDefault="009D4C03" w:rsidP="009D4C03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usuários do laboratório têm treinamento em segurança de laboratório (primeiros-socorros, procedimentos a realizar em emergências com produtos químicos perigosos e inflamáveis etc.)?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D2448B0" w14:textId="503C1BA2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4053558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6DC4DA8" w14:textId="2D28BAB9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C9BF3F6" w14:textId="5273524A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2B44F69C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1A8EC49" w14:textId="6E2190E6" w:rsidR="009D4C03" w:rsidRPr="00F16DAC" w:rsidRDefault="009D4C03" w:rsidP="009D4C03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  <w:r w:rsidRPr="00F16DAC">
              <w:rPr>
                <w:rFonts w:eastAsia="Times New Roman" w:cstheme="minorHAnsi"/>
                <w:sz w:val="20"/>
                <w:szCs w:val="20"/>
                <w:lang w:eastAsia="pt-BR"/>
              </w:rPr>
              <w:t>O laboratório tem algum Plano de Higiene Química (ou equivalente como Manual de Segurança em Laboratório etc)?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87D7307" w14:textId="2CFCE966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FB2AA76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4423F51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3C83E715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0101" w:rsidRPr="00F16DAC" w14:paraId="2C644DCD" w14:textId="77777777" w:rsidTr="00331A5C">
        <w:trPr>
          <w:trHeight w:val="79"/>
          <w:jc w:val="center"/>
        </w:trPr>
        <w:tc>
          <w:tcPr>
            <w:tcW w:w="58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0A22345" w14:textId="7C8A5115" w:rsidR="00B20101" w:rsidRPr="00F16DAC" w:rsidRDefault="0044499F" w:rsidP="00B20101">
            <w:pPr>
              <w:pStyle w:val="Rodap"/>
              <w:rPr>
                <w:rFonts w:eastAsia="Times New Roman" w:cstheme="minorHAnsi"/>
                <w:lang w:eastAsia="pt-BR"/>
              </w:rPr>
            </w:pPr>
            <w:r>
              <w:rPr>
                <w:rFonts w:cstheme="minorHAnsi"/>
                <w:b/>
              </w:rPr>
              <w:t>3</w:t>
            </w:r>
            <w:r w:rsidR="00B20101" w:rsidRPr="00F16DAC">
              <w:rPr>
                <w:rFonts w:cstheme="minorHAnsi"/>
                <w:b/>
              </w:rPr>
              <w:t>.2 Plano para Derramamentos e Emergências</w:t>
            </w:r>
          </w:p>
        </w:tc>
        <w:tc>
          <w:tcPr>
            <w:tcW w:w="6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72FFE9B" w14:textId="62E27FFC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74779C5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C173EF9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 w:color="auto" w:fill="E7E6E6" w:themeFill="background2"/>
          </w:tcPr>
          <w:p w14:paraId="02D7D072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</w:tr>
      <w:tr w:rsidR="009D4C03" w:rsidRPr="00F16DAC" w14:paraId="75F72852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B5AECD9" w14:textId="3568D67D" w:rsidR="009D4C03" w:rsidRPr="00F16DAC" w:rsidRDefault="009D4C03" w:rsidP="009D4C03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usuários do laboratório estão familiarizados com a segurança contra incêndio e com os procedimentos de evacuação de edifícios, incluindo rotas de fuga, saídas de emergência mais próximas, acionadores de alarme de incêndio e uso de extintores?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A3D3DF6" w14:textId="7D92B5D5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A7EED65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2660C2B" w14:textId="1C54693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FED843F" w14:textId="49B0BD21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5BC638BC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138C53F" w14:textId="11F958B9" w:rsidR="009D4C03" w:rsidRPr="00F16DAC" w:rsidRDefault="009D4C03" w:rsidP="009D4C03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procedimentos de emergência e números de telefone de emergência estão claramente notificados em cartazes no laboratório?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9F3B5F5" w14:textId="0056AD09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598816D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6A9F68F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1649C20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6F39ABD9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274F9E5" w14:textId="53858312" w:rsidR="009D4C03" w:rsidRPr="00F16DAC" w:rsidRDefault="009D4C03" w:rsidP="009D4C03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materiais de primeiros socorros prontamente disponíveis em casos de pequenos incidentes no seu laboratório?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CA3AC8C" w14:textId="1838E11A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E1F2EFB" w14:textId="1069FA6C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D5A2EE6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7C5ED9F" w14:textId="4CB8C246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0E45ED7D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E2CDA18" w14:textId="260D2E9F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materiais de limpeza para derramamentos de produtos químicos (kit de mitigação para laboratório e produtos químicos) disponíveis e o pessoal de laboratório está familiarizado com seu uso?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9B77DF8" w14:textId="59206A14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F687639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58C4E75" w14:textId="1AA094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2AAD1F8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6CDC1674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6DD1859" w14:textId="62C2592F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eastAsia="Times New Roman" w:cstheme="minorHAnsi"/>
                <w:sz w:val="20"/>
                <w:szCs w:val="20"/>
                <w:lang w:eastAsia="pt-BR"/>
              </w:rPr>
              <w:t>Há Chuveiro de Segurança e Lava Olhos acessíveis dentro de 10-15 segundos e desobstruídos (por exemplo, sem portas fechadas)?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AFC0970" w14:textId="4B925BFC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202F83C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6F9FAE1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3F1A3E7D" w14:textId="092DC675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178C8099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1D11E57" w14:textId="56A7F122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sinalizadores luminosos e extintores de incêndio estão desobstruídos e visíveis?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E8598D1" w14:textId="48DFB2FB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6446005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8248558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C1C5F9A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09951417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9CA8C0A" w14:textId="5D012A17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extintores de incêndio são adequados ao tipo de trabalho executado no laboratório e estão na validade?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A6B3611" w14:textId="48E21841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E063397" w14:textId="2F10F634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EF62D27" w14:textId="38FB7AA8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52F1067" w14:textId="2071634E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460806BB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602E250" w14:textId="10B89F5B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saídas estão claramente sinalizadas e desobstruídas?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7B0CA9D" w14:textId="24C963FC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459C1AE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267DF1E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5E7507F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0101" w:rsidRPr="00F16DAC" w14:paraId="25C19D3B" w14:textId="77777777" w:rsidTr="00331A5C">
        <w:trPr>
          <w:trHeight w:val="79"/>
          <w:jc w:val="center"/>
        </w:trPr>
        <w:tc>
          <w:tcPr>
            <w:tcW w:w="58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B448FFD" w14:textId="281787EC" w:rsidR="00B20101" w:rsidRPr="00F16DAC" w:rsidRDefault="0044499F" w:rsidP="00B20101">
            <w:pPr>
              <w:pStyle w:val="Rodap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="00B20101" w:rsidRPr="00F16DAC">
              <w:rPr>
                <w:rFonts w:cstheme="minorHAnsi"/>
                <w:b/>
              </w:rPr>
              <w:t>.3 Vestuário, Equipamentos e Proteção Individual</w:t>
            </w:r>
          </w:p>
        </w:tc>
        <w:tc>
          <w:tcPr>
            <w:tcW w:w="6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054D1E0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10446AF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C1865EA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 w:color="auto" w:fill="E7E6E6" w:themeFill="background2"/>
          </w:tcPr>
          <w:p w14:paraId="0F0AA0A5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</w:tr>
      <w:tr w:rsidR="009D4C03" w:rsidRPr="00F16DAC" w14:paraId="18D80B8F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059BCA4" w14:textId="77777777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 pessoal de laboratório usa EPI adequados ao trabalho executado no laboratório?*</w:t>
            </w:r>
          </w:p>
          <w:p w14:paraId="0131D865" w14:textId="121DC4B7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(*) sapatos totalmente fechados, resistentes a produtos químicos; roupas cujo comprimento é adequado para proteger as pernas; cabelos compridos são presos; Joias, colares e outros adornos longos são presos ou removidos; jaleco apropriado; luvas apropriadas; óculos de segurança ou face Shield; respiradores ou máscaras de segurança; etc.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047452C" w14:textId="5D0D8360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935A8CF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A9A144C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4096E45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7324BD4B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2831C57" w14:textId="45E235B7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capelas de exaustão disponíveis? Se sim...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AE31D29" w14:textId="6A75E8FE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5E2626B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8E68960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F30EDEE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465DFC39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F993FA7" w14:textId="1233830D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capelas de exaustão são livres de desordem?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52BB258" w14:textId="4878406C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65E184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7894F0E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9AABE94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17EB439E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38BA493" w14:textId="5D374DD5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capelas de exaustão foram inspecionadas nos últimos 12 meses e são capazes de extrair pelo menos 0,508 m/s de ar do ambiente (ou mais, se apropriado)?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F3550C1" w14:textId="484C5B81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B67BC2D" w14:textId="432134DA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5AAEFCD" w14:textId="39AAE834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9BE6310" w14:textId="6FE4DACD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4AE645D7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36F1FFB" w14:textId="7F74A329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cabine de segurança biológica disponível? Se sim...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92AB0BB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5CAD9E4" w14:textId="345F4FC3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215BF24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752B493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1750F656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000E6A1" w14:textId="189FAAF5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cabines de segurança biológica estão livres de desordem e as superfícies estão descontaminadas?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D9C8C72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9C4E912" w14:textId="4783B4E5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22E5AE4" w14:textId="0D4DA10F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761A057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15CBD818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CB88A29" w14:textId="406E3D1D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cabines de segurança biológica foram certificadas nos últimos 12 meses?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E990A68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0310481" w14:textId="22BF92DB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386C911" w14:textId="7628763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04DC62ED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0101" w:rsidRPr="00F16DAC" w14:paraId="47F665DE" w14:textId="77777777" w:rsidTr="00331A5C">
        <w:trPr>
          <w:trHeight w:val="79"/>
          <w:jc w:val="center"/>
        </w:trPr>
        <w:tc>
          <w:tcPr>
            <w:tcW w:w="58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FAAC7B9" w14:textId="3340123E" w:rsidR="00B20101" w:rsidRPr="00F16DAC" w:rsidRDefault="0044499F" w:rsidP="00B20101">
            <w:pPr>
              <w:pStyle w:val="Rodap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  <w:r w:rsidR="00B20101" w:rsidRPr="00F16DAC">
              <w:rPr>
                <w:rFonts w:cstheme="minorHAnsi"/>
                <w:b/>
              </w:rPr>
              <w:t>.4 Segurança Química</w:t>
            </w:r>
          </w:p>
        </w:tc>
        <w:tc>
          <w:tcPr>
            <w:tcW w:w="6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5BCCBD6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6E4C375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12B3CF0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 w:color="auto" w:fill="E7E6E6" w:themeFill="background2"/>
          </w:tcPr>
          <w:p w14:paraId="22CDB06F" w14:textId="77777777" w:rsidR="00B20101" w:rsidRPr="00F16DAC" w:rsidRDefault="00B20101" w:rsidP="00B2010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</w:tr>
      <w:tr w:rsidR="009D4C03" w:rsidRPr="00F16DAC" w14:paraId="0CE39AD7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B5EE3DB" w14:textId="1CCAFD43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Utiliza-se produtos químicos nesta área? Se sim...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258259E" w14:textId="2A7190FC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AA80F2A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C5AA642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CA91050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05AB73E4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20816240" w14:textId="0F611DAF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embalagens/recipientes estão em bom estado (por exemplo, os rótulos estão intactos, as latas de metal não apresentam sinais de ferrugem) e são fechadas quando não estão em uso?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EA2F19E" w14:textId="61D3DA94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C1BEEFF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6AC9A1C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6A0E630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37AAA285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67A8722" w14:textId="287680E0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produtos químicos estão devidamente segregados por classe de perigo/compatibilidade química (por exemplo, inflamáveis longe de oxidantes, ácidos separados de bases, ácidos incompatíveis separados)?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59F0103" w14:textId="1775411A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FF6ABE1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52C9DC5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BAD6FE6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0730B3CB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EADC5A0" w14:textId="653AE3A5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Evita-se armazenar produtos químicos acima do nível dos olhos?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B83767F" w14:textId="084F340D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D65CB37" w14:textId="1B443924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531D82B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43EC5A2" w14:textId="52A190FE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44063140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220101D" w14:textId="7D502731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líquidos inflamáveis que requerem refrigeração são armazenados em refrigeradores e freezers à prova de explosão?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3172823" w14:textId="7B3A33F5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A6BAD71" w14:textId="10E9D425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FE9A303" w14:textId="2350DDE4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11F978F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02C58C64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9E17C06" w14:textId="4E02FB35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produtos químicos formadores de peróxido são devidamente rotulados e o estoque é rastreado?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A5FC366" w14:textId="618C93A3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6D81C5C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BC4DC72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A49F83F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30C104EB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A2047E5" w14:textId="77777777" w:rsidR="009D4C03" w:rsidRPr="00F16DAC" w:rsidRDefault="009D4C03" w:rsidP="009D4C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6DAC">
              <w:rPr>
                <w:rFonts w:asciiTheme="minorHAnsi" w:hAnsiTheme="minorHAnsi" w:cstheme="minorHAnsi"/>
                <w:sz w:val="20"/>
                <w:szCs w:val="20"/>
              </w:rPr>
              <w:t xml:space="preserve">Utiliza-se produtos químicos controlados nesta área*? Se sim... </w:t>
            </w:r>
          </w:p>
          <w:p w14:paraId="72C9C4C6" w14:textId="7D6A9ADE" w:rsidR="009D4C03" w:rsidRPr="00F16DAC" w:rsidRDefault="009D4C03" w:rsidP="009D4C03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 xml:space="preserve">(*) o estoque de produtos controlados deve ser seguro contra roubos e furtos: produtos controlados das listas I e III da PF, </w:t>
            </w:r>
            <w:r w:rsidRPr="00F16DAC">
              <w:rPr>
                <w:sz w:val="20"/>
                <w:szCs w:val="20"/>
              </w:rPr>
              <w:t>quando em estoque, deverão ser guardados em local separado, exclusivo para este fim, devidamente identificados e sob chaves ou outro dispositivo que ofereça segurança; o depósito do estoque de produtos controlados pelo Exército, e das demais listas da PF (exceto lista VII), deve ficar trancado quando não está sendo usado; os mapas de movimentação de estoque (e inventários) devem estar atualizados e disponíveis para fiscalização.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18EE54D" w14:textId="6908C7E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1FFA11A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6D42C06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4A9CA41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2A18E241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89D1C9C" w14:textId="005E4DB8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produtos controlados são armazenados de forma segura de acordo com a compatibilidade química?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E5F77E6" w14:textId="757C4024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F876342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7F7B75E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5424334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108188DD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25235F0" w14:textId="6B4D821B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eastAsia="Times New Roman" w:cstheme="minorHAnsi"/>
                <w:sz w:val="20"/>
                <w:szCs w:val="20"/>
                <w:lang w:eastAsia="pt-BR"/>
              </w:rPr>
              <w:t>Há FDS dos produtos controlados prontamente disponíveis em todos os momentos em que os usuários do laboratório estão presentes?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6EBF3AD" w14:textId="3AB5A7D4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4F03C97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F5159BB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0EEC0B7E" w14:textId="65BA87F0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1CAD497C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2F78850" w14:textId="3CD82A0A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 estoque dos produtos controlados tem controle de acesso de pessoal (físico: cadeado, fechadura; digital: biometria, cartão magnético)?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D3558F9" w14:textId="65F44881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2A34897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D246D58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0983B46C" w14:textId="0B786CFE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0F52714E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0C095CF" w14:textId="2944193D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rótulos dos produtos controlados contêm informações sobre a concentração/densidade de cada produto químico e a inscrição: PRODUTO CONTROLADO PELA POLÍCIA FEDERAL ou PRODUTO CONTROLADO PELO EXÉRCITO?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740025D" w14:textId="678E6A8E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DA76D4C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B18C956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0F0C214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6BCCA1B4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707E19F" w14:textId="61B922B3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registros de movimentação de estoque e de uso de produtos controlados (Caderno de Controle / Mapas de Controle de Estocagem)?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467625B" w14:textId="5D9AC6CA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D3535D7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D5F71D1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19E2A61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0ACF2C71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04E779F" w14:textId="6470CCD5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estoques de produtos controlados são protegidos/bloqueados contra acesso não permitido de usuários não autorizados?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D4FC16A" w14:textId="15C9213B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7BBD141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B578AF9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87B3C8F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1128F914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49763FF" w14:textId="566F01D0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um responsável, no laboratório, pelo preenchimento dos registros de estocagem e uso de produtos controlados (Caderno de Controle / Mapas de Controle de Estocagem)?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EE414CF" w14:textId="600C92D9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EFF4E0C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361FE25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15FBED6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2F0A769D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2EC0F71" w14:textId="7BA55AC1" w:rsidR="009D4C03" w:rsidRPr="00F16DAC" w:rsidRDefault="009D4C03" w:rsidP="009D4C03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 xml:space="preserve">A documentação referente à aquisição/alienação dos produtos controlados (notas fiscais, guias de tráfego, termos de doação, </w:t>
            </w:r>
            <w:r w:rsidRPr="00F16DAC">
              <w:rPr>
                <w:rFonts w:cstheme="minorHAnsi"/>
                <w:sz w:val="20"/>
                <w:szCs w:val="20"/>
              </w:rPr>
              <w:lastRenderedPageBreak/>
              <w:t>termos de transferência etc.) é devidamente arquivada por 5 anos para fins de fiscalização pelos órgãos controladores?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5195D4E" w14:textId="5D6A746F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91D71E6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9A74200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09BAB61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461" w:rsidRPr="00F16DAC" w14:paraId="1D68459C" w14:textId="77777777" w:rsidTr="00331A5C">
        <w:trPr>
          <w:trHeight w:val="79"/>
          <w:jc w:val="center"/>
        </w:trPr>
        <w:tc>
          <w:tcPr>
            <w:tcW w:w="58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28724A4" w14:textId="3360DF9B" w:rsidR="00C50461" w:rsidRPr="00F16DAC" w:rsidRDefault="0044499F" w:rsidP="00C50461">
            <w:pPr>
              <w:pStyle w:val="Rodap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="00C50461" w:rsidRPr="00F16DAC">
              <w:rPr>
                <w:rFonts w:cstheme="minorHAnsi"/>
                <w:b/>
              </w:rPr>
              <w:t>.5 Segurança Biológica</w:t>
            </w:r>
          </w:p>
        </w:tc>
        <w:tc>
          <w:tcPr>
            <w:tcW w:w="6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5958BAE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51C85D3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246D3E9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 w:color="auto" w:fill="E7E6E6" w:themeFill="background2"/>
          </w:tcPr>
          <w:p w14:paraId="423C4678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</w:rPr>
            </w:pPr>
          </w:p>
        </w:tc>
      </w:tr>
      <w:tr w:rsidR="00C50461" w:rsidRPr="00F16DAC" w14:paraId="1A9E5599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2FD09291" w14:textId="05CE919A" w:rsidR="00C50461" w:rsidRPr="00F16DAC" w:rsidRDefault="00C50461" w:rsidP="00C50461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Materiais biológicos são utilizados nessa área? Se sim...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F938D47" w14:textId="5F0CE404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A9FDD60" w14:textId="717F5DC2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1FC53AA" w14:textId="5801ABDA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3822658B" w14:textId="5703D949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461" w:rsidRPr="00F16DAC" w14:paraId="71720232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E3D2CAC" w14:textId="6AB173F0" w:rsidR="00C50461" w:rsidRPr="00F16DAC" w:rsidRDefault="00C50461" w:rsidP="00C50461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materiais de risco biológicos são devidamente rotulados e armazenados em freezers, geladeiras, incubadoras e outros dispositivos de armazenamento?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BE79C79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6AAD91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A9164D3" w14:textId="532AA8C1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6D5C1A1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461" w:rsidRPr="00F16DAC" w14:paraId="13716051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BABC7C6" w14:textId="67626B2E" w:rsidR="00C50461" w:rsidRPr="00F16DAC" w:rsidRDefault="00C50461" w:rsidP="00C50461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Sina</w:t>
            </w:r>
            <w:r w:rsidR="00497C56" w:rsidRPr="00F16DAC">
              <w:rPr>
                <w:rFonts w:cstheme="minorHAnsi"/>
                <w:sz w:val="20"/>
                <w:szCs w:val="20"/>
              </w:rPr>
              <w:t>lização</w:t>
            </w:r>
            <w:r w:rsidRPr="00F16DAC">
              <w:rPr>
                <w:rFonts w:cstheme="minorHAnsi"/>
                <w:sz w:val="20"/>
                <w:szCs w:val="20"/>
              </w:rPr>
              <w:t xml:space="preserve"> de risco biológico são afixados nas áreas que manipulam materiais infecciosos?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81BC874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CE5D597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83FFEB0" w14:textId="2698D6CC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A1A7117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461" w:rsidRPr="00F16DAC" w14:paraId="58AE4E4C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226A8222" w14:textId="54009D0D" w:rsidR="00C50461" w:rsidRPr="00F16DAC" w:rsidRDefault="00C50461" w:rsidP="00C50461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Desinfetantes estão à disposição para higienizar bancadas e tratar derramamentos?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B0F27D8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F786CF9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9F96EB1" w14:textId="50750C0D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11834CC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461" w:rsidRPr="00F16DAC" w14:paraId="17C2B6EB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20E3E1B" w14:textId="3E3EF7EA" w:rsidR="00C50461" w:rsidRPr="00F16DAC" w:rsidRDefault="00C50461" w:rsidP="00C50461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cabines de segurança biológica foram certificadas nos últimos 12 meses?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7717A68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771D780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5651CAC" w14:textId="355C348D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3309BDCA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461" w:rsidRPr="00F16DAC" w14:paraId="26327B2C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CB3E3E4" w14:textId="10B9AD91" w:rsidR="00C50461" w:rsidRPr="00F16DAC" w:rsidRDefault="00C50461" w:rsidP="00C50461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cabines de segurança biológica são livres de desordem e são descontaminadas?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C3A86FB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C592D69" w14:textId="77777777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4301A5F" w14:textId="2D58D94B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470607D" w14:textId="7777777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461" w:rsidRPr="00F16DAC" w14:paraId="1E4716FF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73FB732" w14:textId="3E445A2F" w:rsidR="00C50461" w:rsidRPr="00F16DAC" w:rsidRDefault="00C50461" w:rsidP="003057BC">
            <w:pPr>
              <w:pStyle w:val="Rodap"/>
              <w:ind w:left="37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 laboratório é livre de pragas (insetos, roedores etc.)?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263E55D" w14:textId="4494E471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D62DF5A" w14:textId="372C4EDA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51F4CDE" w14:textId="344E2291" w:rsidR="00C50461" w:rsidRPr="00887B5F" w:rsidRDefault="00C50461" w:rsidP="00C50461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CD4E44C" w14:textId="0F310D57" w:rsidR="00C50461" w:rsidRPr="00F16DAC" w:rsidRDefault="00C50461" w:rsidP="00C50461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4F082346" w14:textId="77777777" w:rsidTr="00331A5C">
        <w:trPr>
          <w:trHeight w:val="79"/>
          <w:jc w:val="center"/>
        </w:trPr>
        <w:tc>
          <w:tcPr>
            <w:tcW w:w="58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2B0EF1A" w14:textId="0D708EA5" w:rsidR="00E2576A" w:rsidRPr="00F16DAC" w:rsidRDefault="0044499F" w:rsidP="00E2576A">
            <w:pPr>
              <w:pStyle w:val="Rodap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="00E2576A" w:rsidRPr="00F16DAC">
              <w:rPr>
                <w:rFonts w:cstheme="minorHAnsi"/>
                <w:b/>
              </w:rPr>
              <w:t>.</w:t>
            </w:r>
            <w:r w:rsidR="00E37323" w:rsidRPr="00F16DAC">
              <w:rPr>
                <w:rFonts w:cstheme="minorHAnsi"/>
                <w:b/>
              </w:rPr>
              <w:t>6</w:t>
            </w:r>
            <w:r w:rsidR="00E2576A" w:rsidRPr="00F16DAC">
              <w:rPr>
                <w:rFonts w:cstheme="minorHAnsi"/>
                <w:b/>
              </w:rPr>
              <w:t xml:space="preserve"> Segurança de Gás Comprimido e Criogênico</w:t>
            </w:r>
          </w:p>
        </w:tc>
        <w:tc>
          <w:tcPr>
            <w:tcW w:w="6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8D18F6F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A78911B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E639559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 w:color="auto" w:fill="E7E6E6" w:themeFill="background2"/>
          </w:tcPr>
          <w:p w14:paraId="1D653753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</w:rPr>
            </w:pPr>
          </w:p>
        </w:tc>
      </w:tr>
      <w:tr w:rsidR="00E2576A" w:rsidRPr="00F16DAC" w14:paraId="1BFE7E4F" w14:textId="77777777" w:rsidTr="00C657F6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D118CB5" w14:textId="2474FB65" w:rsidR="00E2576A" w:rsidRPr="00F16DAC" w:rsidRDefault="00E2576A" w:rsidP="00E2576A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Cilindros de gás comprimido são usados nesta área? Se sim...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54FD3DE" w14:textId="1F0CA6DC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27FDCDE" w14:textId="3E3CE173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E48F5BC" w14:textId="3F614C35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007F2E9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4C192D31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50A98EF" w14:textId="36DD1DE5" w:rsidR="00E2576A" w:rsidRPr="00F16DAC" w:rsidRDefault="00E2576A" w:rsidP="00E2576A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cilindros são armazenados na vertical e estão devidamente presos?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299BC39" w14:textId="4369F74D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ED6C7C5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0BAD471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A74C0E6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137B50ED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263A881C" w14:textId="5BD0A99D" w:rsidR="00E2576A" w:rsidRPr="00F16DAC" w:rsidRDefault="00E2576A" w:rsidP="00E2576A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tampas (capacetes) estão devidamente rosqueadas quando os cilindros não estão em uso?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E8453DE" w14:textId="53411359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592403F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6B76722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4FC70AB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6CCE177C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AE534E6" w14:textId="6F07DA8D" w:rsidR="00E2576A" w:rsidRPr="00F16DAC" w:rsidRDefault="00E2576A" w:rsidP="00E2576A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 xml:space="preserve">São utilizados reguladores de pressão compatíveis com as características físico-químicas do produto? 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62B377E" w14:textId="02901706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2FCB1BE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33B9F1D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153F440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2BD5388B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6F0648F" w14:textId="3F67A6E2" w:rsidR="00E2576A" w:rsidRPr="00F16DAC" w:rsidRDefault="00E2576A" w:rsidP="00E2576A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cilindros estão em bom estado e claramente identificados?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F4E7739" w14:textId="6CD004EA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040A52B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0D25D6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2713398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374DC93C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519E89C" w14:textId="5ADCDC6F" w:rsidR="00E2576A" w:rsidRPr="00F16DAC" w:rsidRDefault="00E2576A" w:rsidP="00E2576A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cilindros de gases inflamáveis são armazenados separadamente, em área segura, por compatibilidade química (ex., em local diferente dos oxidantes, dos tóxicos etc.)?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DFD7CBD" w14:textId="035966A5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0A75738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EC9E327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21C008B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6FF2447D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75AB81E" w14:textId="66017B45" w:rsidR="00E2576A" w:rsidRPr="00F16DAC" w:rsidRDefault="00E2576A" w:rsidP="00E2576A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cilindros de gases inflamáveis são armazenados em recintos ventilados e sem incidência direta de luz solar?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E564D6F" w14:textId="17C3860F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FE582F2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2DD8636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77288AE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0A954642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ACFEE3E" w14:textId="5102D2A5" w:rsidR="00E2576A" w:rsidRPr="00F16DAC" w:rsidRDefault="00E2576A" w:rsidP="00E2576A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cilindros de gases tóxicos são armazenados e usados em recintos continuamente ventilados?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5F39D5C" w14:textId="42FAB72E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DE8AE48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272F485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F1B6F99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54E57377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22CDA47" w14:textId="7457F60E" w:rsidR="00E2576A" w:rsidRPr="00F16DAC" w:rsidRDefault="00E2576A" w:rsidP="00E2576A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 xml:space="preserve">Os valores do alívio de pressão dos cilindros de gás criogênico são adequados ao trabalho? 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DBEC270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A362B10" w14:textId="77777777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1EDFB4" w14:textId="27522F5D" w:rsidR="00E2576A" w:rsidRPr="00887B5F" w:rsidRDefault="00E2576A" w:rsidP="00E2576A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0A78BC88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76A" w:rsidRPr="00F16DAC" w14:paraId="63490399" w14:textId="77777777" w:rsidTr="00331A5C">
        <w:trPr>
          <w:trHeight w:val="79"/>
          <w:jc w:val="center"/>
        </w:trPr>
        <w:tc>
          <w:tcPr>
            <w:tcW w:w="58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0DF1394" w14:textId="207D3600" w:rsidR="00E2576A" w:rsidRPr="00F16DAC" w:rsidRDefault="0044499F" w:rsidP="00E2576A">
            <w:pPr>
              <w:pStyle w:val="Rodap"/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3</w:t>
            </w:r>
            <w:r w:rsidR="00E2576A" w:rsidRPr="00F16DAC">
              <w:rPr>
                <w:rFonts w:eastAsia="Times New Roman" w:cstheme="minorHAnsi"/>
                <w:b/>
              </w:rPr>
              <w:t>.</w:t>
            </w:r>
            <w:r w:rsidR="00E37323" w:rsidRPr="00F16DAC">
              <w:rPr>
                <w:rFonts w:eastAsia="Times New Roman" w:cstheme="minorHAnsi"/>
                <w:b/>
              </w:rPr>
              <w:t>7</w:t>
            </w:r>
            <w:r w:rsidR="00E2576A" w:rsidRPr="00F16DAC">
              <w:rPr>
                <w:rFonts w:eastAsia="Times New Roman" w:cstheme="minorHAnsi"/>
                <w:b/>
              </w:rPr>
              <w:t xml:space="preserve"> Segurança de Equipamentos e Riscos Físicos</w:t>
            </w:r>
          </w:p>
        </w:tc>
        <w:tc>
          <w:tcPr>
            <w:tcW w:w="6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8FEFE57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97026D2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E8E309C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 w:color="auto" w:fill="E7E6E6" w:themeFill="background2"/>
          </w:tcPr>
          <w:p w14:paraId="0FEBC749" w14:textId="77777777" w:rsidR="00E2576A" w:rsidRPr="00F16DAC" w:rsidRDefault="00E2576A" w:rsidP="00E2576A">
            <w:pPr>
              <w:pStyle w:val="Rodap"/>
              <w:jc w:val="center"/>
              <w:rPr>
                <w:rFonts w:cstheme="minorHAnsi"/>
                <w:b/>
              </w:rPr>
            </w:pPr>
          </w:p>
        </w:tc>
      </w:tr>
      <w:tr w:rsidR="000512BB" w:rsidRPr="00F16DAC" w14:paraId="466A4FA3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9269F49" w14:textId="2A06A2B2" w:rsidR="000512BB" w:rsidRPr="00F16DAC" w:rsidRDefault="000512BB" w:rsidP="000512BB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avisos de segurança dos equipamentos estão afixados e em bom estado?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9B9704A" w14:textId="16EFB97C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A158646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6CCF888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0674FB9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2A22CD05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A03A763" w14:textId="27F17D30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equipamentos estão em bom estado de conservação, com evidências de manutenção adequada, e possuem aterramento elétrico?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9395F4C" w14:textId="05AB9474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909DAC0" w14:textId="4CCE94E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A19C00E" w14:textId="4F5B959C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8E9BDCB" w14:textId="19CC5813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308966A1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214515D1" w14:textId="502C6700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cabos elétricos estão em bom estado, fora do caminho de circulação das pessoas e livres de rachaduras ou quebras no isolamento?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262C199" w14:textId="226AE7C8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1AA0025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1D46522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C388D16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1A9401C2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7E805E2" w14:textId="6E48977F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Existe um sistema de etiquetagem para evitar o uso de equipamentos danificados?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B36807A" w14:textId="7A4A9BA0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4EB85D6" w14:textId="42420711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A7A4174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F2DC964" w14:textId="47EF4BF6" w:rsidR="000512BB" w:rsidRPr="00F16DAC" w:rsidRDefault="000512BB" w:rsidP="000512BB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040E6C30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6CBAA0C" w14:textId="09C047E6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lastRenderedPageBreak/>
              <w:t>Todos os usuários foram treinados para operar os equipamentos?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E477696" w14:textId="1B413D44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69D255F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5AF6EEC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63F4387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50CBF12F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BBFC0A4" w14:textId="7A0DC280" w:rsidR="009D4C03" w:rsidRPr="00F16DAC" w:rsidRDefault="009D4C03" w:rsidP="009D4C03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máquinas estão alocadas de forma segura, com arranjo físico, espaçamento e demarcações?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64E1C2F" w14:textId="30D82229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D9C114A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7501209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5D0A80E" w14:textId="34D20EE3" w:rsidR="009D4C03" w:rsidRPr="00F16DAC" w:rsidRDefault="009D4C03" w:rsidP="009D4C03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786F" w:rsidRPr="00F16DAC" w14:paraId="68562E9A" w14:textId="77777777" w:rsidTr="00331A5C">
        <w:trPr>
          <w:trHeight w:val="79"/>
          <w:jc w:val="center"/>
        </w:trPr>
        <w:tc>
          <w:tcPr>
            <w:tcW w:w="58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D29E8AC" w14:textId="0F199FE2" w:rsidR="0032786F" w:rsidRPr="00F16DAC" w:rsidRDefault="0044499F" w:rsidP="0032786F">
            <w:pPr>
              <w:pStyle w:val="Rodap"/>
              <w:ind w:left="32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="0032786F" w:rsidRPr="00F16DAC">
              <w:rPr>
                <w:rFonts w:cstheme="minorHAnsi"/>
                <w:b/>
              </w:rPr>
              <w:t>.</w:t>
            </w:r>
            <w:r w:rsidR="00E37323" w:rsidRPr="00F16DAC">
              <w:rPr>
                <w:rFonts w:cstheme="minorHAnsi"/>
                <w:b/>
              </w:rPr>
              <w:t>8</w:t>
            </w:r>
            <w:r w:rsidR="0032786F" w:rsidRPr="00F16DAC">
              <w:rPr>
                <w:rFonts w:cstheme="minorHAnsi"/>
                <w:b/>
              </w:rPr>
              <w:t xml:space="preserve"> Segurança Geral de Laboratório</w:t>
            </w:r>
          </w:p>
        </w:tc>
        <w:tc>
          <w:tcPr>
            <w:tcW w:w="6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BCFE687" w14:textId="77777777" w:rsidR="0032786F" w:rsidRPr="00F16DAC" w:rsidRDefault="0032786F" w:rsidP="0032786F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1CB8CED" w14:textId="77777777" w:rsidR="0032786F" w:rsidRPr="00F16DAC" w:rsidRDefault="0032786F" w:rsidP="0032786F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8EA4FAA" w14:textId="77777777" w:rsidR="0032786F" w:rsidRPr="00F16DAC" w:rsidRDefault="0032786F" w:rsidP="0032786F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 w:color="auto" w:fill="E7E6E6" w:themeFill="background2"/>
          </w:tcPr>
          <w:p w14:paraId="2FFF185B" w14:textId="77777777" w:rsidR="0032786F" w:rsidRPr="00F16DAC" w:rsidRDefault="0032786F" w:rsidP="0032786F">
            <w:pPr>
              <w:pStyle w:val="Rodap"/>
              <w:jc w:val="center"/>
              <w:rPr>
                <w:rFonts w:cstheme="minorHAnsi"/>
                <w:b/>
              </w:rPr>
            </w:pPr>
          </w:p>
        </w:tc>
      </w:tr>
      <w:tr w:rsidR="000512BB" w:rsidRPr="00F16DAC" w14:paraId="248BA007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44680DF" w14:textId="49FBA13D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sinalização de segurança do trabalho facilmente visíve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F16DAC">
              <w:rPr>
                <w:rFonts w:cstheme="minorHAnsi"/>
                <w:sz w:val="20"/>
                <w:szCs w:val="20"/>
              </w:rPr>
              <w:t xml:space="preserve"> pelos usuários do laboratório (proibido fumar, comer e beber no laboratório etc)?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FCA9978" w14:textId="6EA34B2B" w:rsidR="000512BB" w:rsidRPr="00887B5F" w:rsidRDefault="000512BB" w:rsidP="000512BB">
            <w:pPr>
              <w:pStyle w:val="Rodap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A6E5BBF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6C28F58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101FE74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470D7E21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DF6A7B1" w14:textId="7732C44A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Há placas de advertência apropriadas afixadas perto da entrada do laboratório (contendo pictogramas de riscos do ambiente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F16DA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A8C2A29" w14:textId="0987AD61" w:rsidR="000512BB" w:rsidRPr="00887B5F" w:rsidRDefault="000512BB" w:rsidP="000512BB">
            <w:pPr>
              <w:pStyle w:val="Rodap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E3A4048" w14:textId="70AF71F3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BC0FEBE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35F9B124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7E611817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A588544" w14:textId="58457912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Os corredores de circulação estão desobstruídos e têm pelo menos 1,20 metros de largura?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0FD5027" w14:textId="35132659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0F8C8D4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33D2CA2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CE5FE7E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2621A062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00D52C3" w14:textId="7C42887E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bancadas de laboratório e as áreas de trabalho estão livres de desordem?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A2CF0E8" w14:textId="3AB30271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922EDF7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C0FF5F8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B5C11BF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4108DA70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3472810" w14:textId="445CAE7A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As prateleiras e os armários estão em bom estado?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BD8DD87" w14:textId="0071884A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9B77D93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F596239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319D4E2" w14:textId="3404BC40" w:rsidR="000512BB" w:rsidRPr="00F16DAC" w:rsidRDefault="000512BB" w:rsidP="000512BB">
            <w:pPr>
              <w:pStyle w:val="Rodap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52DD151F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23550FCB" w14:textId="534B33CD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Foram realizadas a inspeção e a limpeza documentadas dos condicionadores de ar </w:t>
            </w:r>
            <w:r w:rsidRPr="00F16DAC">
              <w:rPr>
                <w:rFonts w:cstheme="minorHAnsi"/>
                <w:sz w:val="20"/>
                <w:szCs w:val="20"/>
              </w:rPr>
              <w:t>nos últimos 6 meses?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14BA64E" w14:textId="1E862D31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E37C3B9" w14:textId="5DD7D730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C5C4B53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BC2950E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43E58786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486ADC1" w14:textId="77777777" w:rsidR="000512BB" w:rsidRPr="00F16DAC" w:rsidRDefault="000512BB" w:rsidP="000512BB">
            <w:pPr>
              <w:pStyle w:val="Rodap"/>
              <w:ind w:left="32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16DAC">
              <w:rPr>
                <w:rFonts w:eastAsia="Times New Roman" w:cstheme="minorHAnsi"/>
                <w:sz w:val="20"/>
                <w:szCs w:val="20"/>
                <w:lang w:eastAsia="pt-BR"/>
              </w:rPr>
              <w:t>O quadro de eletricidade está desobstruído e todas as chaves</w:t>
            </w:r>
          </w:p>
          <w:p w14:paraId="7CD75614" w14:textId="2CAAF606" w:rsidR="000512BB" w:rsidRPr="00F16DAC" w:rsidRDefault="000512BB" w:rsidP="000512BB">
            <w:pPr>
              <w:pStyle w:val="Rodap"/>
              <w:ind w:left="32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16DAC">
              <w:rPr>
                <w:rFonts w:eastAsia="Times New Roman" w:cstheme="minorHAnsi"/>
                <w:sz w:val="20"/>
                <w:szCs w:val="20"/>
                <w:lang w:eastAsia="pt-BR"/>
              </w:rPr>
              <w:t>devidamente rotuladas?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C0E2F3B" w14:textId="1C806E05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736CEE9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CACB0D1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807F241" w14:textId="3C672694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1D4179BA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C4B718F" w14:textId="4EF2591B" w:rsidR="000512BB" w:rsidRPr="00F16DAC" w:rsidRDefault="000512BB" w:rsidP="000512BB">
            <w:pPr>
              <w:pStyle w:val="Rodap"/>
              <w:ind w:left="32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16DAC">
              <w:rPr>
                <w:rFonts w:eastAsia="Times New Roman" w:cstheme="minorHAnsi"/>
                <w:sz w:val="20"/>
                <w:szCs w:val="20"/>
                <w:lang w:eastAsia="pt-BR"/>
              </w:rPr>
              <w:t>A fiação elétrica está em bom estado?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550803E" w14:textId="06098428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C54D01F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CC10A01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4A9B2EA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F6D" w:rsidRPr="00F16DAC" w14:paraId="586914D1" w14:textId="77777777" w:rsidTr="00331A5C">
        <w:trPr>
          <w:trHeight w:val="79"/>
          <w:jc w:val="center"/>
        </w:trPr>
        <w:tc>
          <w:tcPr>
            <w:tcW w:w="58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DB834D7" w14:textId="4B8D3E01" w:rsidR="00404F6D" w:rsidRPr="00F16DAC" w:rsidRDefault="0044499F" w:rsidP="00404F6D">
            <w:pPr>
              <w:pStyle w:val="Rodap"/>
              <w:ind w:left="32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="00404F6D" w:rsidRPr="00F16DAC">
              <w:rPr>
                <w:rFonts w:cstheme="minorHAnsi"/>
                <w:b/>
              </w:rPr>
              <w:t>.</w:t>
            </w:r>
            <w:r w:rsidR="00E37323" w:rsidRPr="00F16DAC">
              <w:rPr>
                <w:rFonts w:cstheme="minorHAnsi"/>
                <w:b/>
              </w:rPr>
              <w:t>9</w:t>
            </w:r>
            <w:r w:rsidR="00404F6D" w:rsidRPr="00F16DAC">
              <w:rPr>
                <w:rFonts w:cstheme="minorHAnsi"/>
                <w:b/>
              </w:rPr>
              <w:t xml:space="preserve"> Gestão de Resíduos</w:t>
            </w:r>
          </w:p>
        </w:tc>
        <w:tc>
          <w:tcPr>
            <w:tcW w:w="6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ECFE430" w14:textId="77777777" w:rsidR="00404F6D" w:rsidRPr="00F16DAC" w:rsidRDefault="00404F6D" w:rsidP="00404F6D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871D53C" w14:textId="77777777" w:rsidR="00404F6D" w:rsidRPr="00F16DAC" w:rsidRDefault="00404F6D" w:rsidP="00404F6D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20E49CB" w14:textId="77777777" w:rsidR="00404F6D" w:rsidRPr="00F16DAC" w:rsidRDefault="00404F6D" w:rsidP="00404F6D">
            <w:pPr>
              <w:pStyle w:val="Rodap"/>
              <w:jc w:val="center"/>
              <w:rPr>
                <w:rFonts w:cstheme="minorHAnsi"/>
                <w:b/>
              </w:rPr>
            </w:pPr>
          </w:p>
        </w:tc>
        <w:tc>
          <w:tcPr>
            <w:tcW w:w="1922" w:type="dxa"/>
            <w:tcBorders>
              <w:left w:val="nil"/>
            </w:tcBorders>
            <w:shd w:val="clear" w:color="auto" w:fill="E7E6E6" w:themeFill="background2"/>
          </w:tcPr>
          <w:p w14:paraId="0931D946" w14:textId="77777777" w:rsidR="00404F6D" w:rsidRPr="00F16DAC" w:rsidRDefault="00404F6D" w:rsidP="00404F6D">
            <w:pPr>
              <w:pStyle w:val="Rodap"/>
              <w:jc w:val="center"/>
              <w:rPr>
                <w:rFonts w:cstheme="minorHAnsi"/>
                <w:b/>
              </w:rPr>
            </w:pPr>
          </w:p>
        </w:tc>
      </w:tr>
      <w:tr w:rsidR="000512BB" w:rsidRPr="00F16DAC" w14:paraId="20ACF8B9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B1AF9BC" w14:textId="18438BAB" w:rsidR="000512BB" w:rsidRPr="00F16DAC" w:rsidRDefault="000512BB" w:rsidP="000512BB">
            <w:pPr>
              <w:pStyle w:val="Rodap"/>
              <w:ind w:left="32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São gerados resíduos químicos perigosos nesta área? Se sim...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4EB9330" w14:textId="361FB58E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C7A75DF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108D943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B838C60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382C5D60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D941AD3" w14:textId="151D6135" w:rsidR="000512BB" w:rsidRPr="00F16DAC" w:rsidRDefault="000512BB" w:rsidP="000512BB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 xml:space="preserve">A capacidade máxima de estocagem </w:t>
            </w:r>
            <w:r w:rsidRPr="00F16DAC">
              <w:rPr>
                <w:rFonts w:cstheme="minorHAnsi"/>
                <w:sz w:val="20"/>
                <w:szCs w:val="20"/>
              </w:rPr>
              <w:t xml:space="preserve">da área de armazenamento de resíduos </w:t>
            </w:r>
            <w:r w:rsidRPr="00F16DAC">
              <w:rPr>
                <w:rFonts w:cstheme="minorHAnsi"/>
                <w:color w:val="000000"/>
                <w:sz w:val="20"/>
                <w:szCs w:val="20"/>
              </w:rPr>
              <w:t>não é excedida (200 L de resíduo perigoso e/ou 1 L de resíduo agudamente tóxico)?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5D5ECE4" w14:textId="7984E18F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AEDB14E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B7EC4F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9F1468C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571CAAF9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A9775B1" w14:textId="23179CA4" w:rsidR="000512BB" w:rsidRPr="00F16DAC" w:rsidRDefault="000512BB" w:rsidP="000512BB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Os recipientes e contentores de resíduos são apropriados e estão em bom estado e sem danos aparentes (sem vazamento, sem ferrugem, sem abaulamento, sem trincas)?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F8AFBBC" w14:textId="79CE32B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1E865D8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97BD67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749D928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208966A7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98A722C" w14:textId="52AAB403" w:rsidR="000512BB" w:rsidRPr="00F16DAC" w:rsidRDefault="000512BB" w:rsidP="000512BB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Cada recipiente é rotulado com as palavras "Resíduos Perigosos"?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F4AEA96" w14:textId="767C9BC6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81645D8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9826901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B0316AA" w14:textId="1192A8E3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2B6E628B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269F567E" w14:textId="79C8C049" w:rsidR="000512BB" w:rsidRPr="00F16DAC" w:rsidRDefault="000512BB" w:rsidP="000512BB">
            <w:pPr>
              <w:pStyle w:val="Rodap"/>
              <w:ind w:left="316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Cada recipiente possui rótulo completo que identifica claramente o conteúdo armazenado no interior (sem abreviaturas ou fórmulas)?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9C5E981" w14:textId="2571008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89BC983" w14:textId="23F25F3F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8E83A7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455D6812" w14:textId="3C585645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63FEF892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FDD4C50" w14:textId="0B17D434" w:rsidR="000512BB" w:rsidRPr="00F16DAC" w:rsidRDefault="000512BB" w:rsidP="000512BB">
            <w:pPr>
              <w:pStyle w:val="Rodap"/>
              <w:ind w:left="32"/>
              <w:rPr>
                <w:rFonts w:cstheme="minorHAnsi"/>
                <w:color w:val="000000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São gerados resíduos de materiais perfurocortantes (por exemplo, agulhas, seringas, lâminas de bisturi ou outros instrumentos com potencial para cortar, perfurar ou escarificar a pele) nessa área? Se sim...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7C5A5ED" w14:textId="6E16B5E5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47B6185" w14:textId="243CC6FC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C58FECA" w14:textId="7B2E0FC9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D334C31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407C6C36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63B43F3" w14:textId="0122F7D7" w:rsidR="000512BB" w:rsidRPr="00F16DAC" w:rsidRDefault="000512BB" w:rsidP="000512BB">
            <w:pPr>
              <w:pStyle w:val="Rodap"/>
              <w:ind w:left="316"/>
              <w:rPr>
                <w:rFonts w:cstheme="minorHAnsi"/>
                <w:color w:val="000000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Os resíduos perfurocortantes são imediatamente descartados em recipientes adequados resistentes a perfurações?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AAA6EAE" w14:textId="784CF4B8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7650C42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943456" w14:textId="31207C92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22A8CAE5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65D227ED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8B9BF86" w14:textId="7E5F8BC2" w:rsidR="000512BB" w:rsidRPr="00F16DAC" w:rsidRDefault="000512BB" w:rsidP="000512BB">
            <w:pPr>
              <w:pStyle w:val="Rodap"/>
              <w:ind w:left="316"/>
              <w:rPr>
                <w:rFonts w:cstheme="minorHAnsi"/>
                <w:color w:val="000000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Os recipientes para materiais perfurocortantes estão prontamente disponíveis e são gerenciados adequadamente (por exemplo, não estão cheios demais)?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84F053B" w14:textId="77777777" w:rsidR="000512BB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AD65B5A" w14:textId="77777777" w:rsidR="00C375F5" w:rsidRDefault="00C375F5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6B93602" w14:textId="77777777" w:rsidR="00C375F5" w:rsidRDefault="00C375F5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0EDBF50" w14:textId="77777777" w:rsidR="00C375F5" w:rsidRDefault="00C375F5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56A9BCC" w14:textId="77777777" w:rsidR="00C375F5" w:rsidRDefault="00C375F5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42A22E6" w14:textId="77777777" w:rsidR="00C375F5" w:rsidRDefault="00C375F5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8F56EE4" w14:textId="3B5531A7" w:rsidR="00C375F5" w:rsidRPr="00887B5F" w:rsidRDefault="00C375F5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AABFA4B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2ADE470" w14:textId="4657ABE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14218AAF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222C8CDA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55ED77B" w14:textId="696EAE68" w:rsidR="000512BB" w:rsidRPr="00F16DAC" w:rsidRDefault="000512BB" w:rsidP="000512BB">
            <w:pPr>
              <w:pStyle w:val="Rodap"/>
              <w:ind w:left="32"/>
              <w:rPr>
                <w:rFonts w:cstheme="minorHAnsi"/>
                <w:color w:val="000000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São gerados resíduos biológicos nesta área? Se sim...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27D731B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1B5C275" w14:textId="4E5EA26B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4F1A858" w14:textId="2C6AA5F8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35D40765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12BB" w:rsidRPr="00F16DAC" w14:paraId="69D0A29F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24FC1F7" w14:textId="542BA89B" w:rsidR="000512BB" w:rsidRPr="00F16DAC" w:rsidRDefault="000512BB" w:rsidP="000512BB">
            <w:pPr>
              <w:pStyle w:val="Rodap"/>
              <w:ind w:left="316"/>
              <w:rPr>
                <w:rFonts w:cstheme="minorHAnsi"/>
                <w:color w:val="000000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Os resíduos biológicos líquidos são descontaminados (se aplicável) antes do descarte?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8D1074E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6122EB9" w14:textId="77777777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29764EB" w14:textId="126DE7E6" w:rsidR="000512BB" w:rsidRPr="00887B5F" w:rsidRDefault="000512BB" w:rsidP="000512BB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650772EC" w14:textId="77777777" w:rsidR="000512BB" w:rsidRPr="00F16DAC" w:rsidRDefault="000512BB" w:rsidP="000512BB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4C03" w:rsidRPr="00F16DAC" w14:paraId="3ADAD90A" w14:textId="77777777" w:rsidTr="00331A5C">
        <w:trPr>
          <w:trHeight w:val="79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4FBC1C3" w14:textId="29F02045" w:rsidR="009D4C03" w:rsidRPr="00F16DAC" w:rsidRDefault="009D4C03" w:rsidP="009D4C03">
            <w:pPr>
              <w:pStyle w:val="Rodap"/>
              <w:ind w:left="316"/>
              <w:rPr>
                <w:rFonts w:cstheme="minorHAnsi"/>
                <w:color w:val="000000"/>
                <w:sz w:val="20"/>
                <w:szCs w:val="20"/>
              </w:rPr>
            </w:pPr>
            <w:r w:rsidRPr="00F16DAC">
              <w:rPr>
                <w:rFonts w:cstheme="minorHAnsi"/>
                <w:color w:val="000000"/>
                <w:sz w:val="20"/>
                <w:szCs w:val="20"/>
              </w:rPr>
              <w:t>Os resíduos biológicos sólidos são descartados como Resíduos de Serviço de Saúde e são autoclavados ou desinfetados conforme o caso?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9454063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0C3FB0B" w14:textId="77777777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982B01D" w14:textId="1D661D00" w:rsidR="009D4C03" w:rsidRPr="00887B5F" w:rsidRDefault="009D4C03" w:rsidP="009D4C03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75AAF736" w14:textId="77777777" w:rsidR="009D4C03" w:rsidRPr="00F16DAC" w:rsidRDefault="009D4C03" w:rsidP="009D4C03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2E6D" w:rsidRPr="00F16DAC" w14:paraId="161ED5C3" w14:textId="77777777" w:rsidTr="00DD344E">
        <w:trPr>
          <w:trHeight w:val="79"/>
          <w:jc w:val="center"/>
        </w:trPr>
        <w:tc>
          <w:tcPr>
            <w:tcW w:w="5807" w:type="dxa"/>
            <w:shd w:val="clear" w:color="auto" w:fill="E7E6E6" w:themeFill="background2"/>
            <w:vAlign w:val="center"/>
          </w:tcPr>
          <w:p w14:paraId="388E2C9B" w14:textId="3A36AB02" w:rsidR="00CF2E6D" w:rsidRPr="00F16DAC" w:rsidRDefault="0044499F" w:rsidP="004254DE">
            <w:pPr>
              <w:pStyle w:val="Rodap"/>
              <w:rPr>
                <w:rFonts w:cs="Calibri"/>
                <w:color w:val="000000"/>
                <w:vertAlign w:val="superscript"/>
              </w:rPr>
            </w:pPr>
            <w:r>
              <w:rPr>
                <w:rFonts w:cstheme="minorHAnsi"/>
                <w:b/>
              </w:rPr>
              <w:t>4</w:t>
            </w:r>
            <w:r w:rsidR="00CF2E6D" w:rsidRPr="00F16DAC">
              <w:rPr>
                <w:rFonts w:cstheme="minorHAnsi"/>
                <w:b/>
              </w:rPr>
              <w:t>. SEGURANÇA EM RADIAÇÕES IONIZANTES E NÃO IONIZANTES</w:t>
            </w:r>
          </w:p>
        </w:tc>
        <w:tc>
          <w:tcPr>
            <w:tcW w:w="635" w:type="dxa"/>
            <w:shd w:val="clear" w:color="auto" w:fill="E7E6E6" w:themeFill="background2"/>
            <w:vAlign w:val="center"/>
          </w:tcPr>
          <w:p w14:paraId="4152001D" w14:textId="77777777" w:rsidR="00CF2E6D" w:rsidRPr="00F16DAC" w:rsidRDefault="00CF2E6D" w:rsidP="004254DE">
            <w:pPr>
              <w:pStyle w:val="Rodap"/>
              <w:jc w:val="center"/>
              <w:rPr>
                <w:rFonts w:cs="Calibri"/>
                <w:b/>
                <w:color w:val="000000"/>
              </w:rPr>
            </w:pPr>
            <w:r w:rsidRPr="00F16DAC">
              <w:rPr>
                <w:rFonts w:cstheme="minorHAnsi"/>
                <w:b/>
              </w:rPr>
              <w:t>Sim</w:t>
            </w: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01DB2F28" w14:textId="77777777" w:rsidR="00CF2E6D" w:rsidRPr="00F16DAC" w:rsidRDefault="00CF2E6D" w:rsidP="004254DE">
            <w:pPr>
              <w:pStyle w:val="Rodap"/>
              <w:jc w:val="center"/>
              <w:rPr>
                <w:rFonts w:cs="Calibri"/>
                <w:b/>
                <w:color w:val="000000"/>
              </w:rPr>
            </w:pPr>
            <w:r w:rsidRPr="00F16DAC">
              <w:rPr>
                <w:rFonts w:cstheme="minorHAnsi"/>
                <w:b/>
              </w:rPr>
              <w:t>Não</w:t>
            </w: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50ACC41B" w14:textId="77777777" w:rsidR="00CF2E6D" w:rsidRPr="00F16DAC" w:rsidRDefault="00CF2E6D" w:rsidP="004254DE">
            <w:pPr>
              <w:pStyle w:val="Rodap"/>
              <w:jc w:val="center"/>
              <w:rPr>
                <w:rFonts w:cs="Calibri"/>
                <w:b/>
                <w:color w:val="000000"/>
              </w:rPr>
            </w:pPr>
            <w:r w:rsidRPr="00F16DAC">
              <w:rPr>
                <w:rFonts w:cstheme="minorHAnsi"/>
                <w:b/>
              </w:rPr>
              <w:t>N/A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0EEC30F5" w14:textId="77777777" w:rsidR="00CF2E6D" w:rsidRPr="00F16DAC" w:rsidRDefault="00CF2E6D" w:rsidP="00DD344E">
            <w:pPr>
              <w:pStyle w:val="Rodap"/>
              <w:jc w:val="center"/>
              <w:rPr>
                <w:rFonts w:cs="Calibri"/>
                <w:color w:val="000000"/>
              </w:rPr>
            </w:pPr>
            <w:r w:rsidRPr="00F16DAC">
              <w:rPr>
                <w:rFonts w:cstheme="minorHAnsi"/>
                <w:b/>
              </w:rPr>
              <w:t>COMENTÁRIOS</w:t>
            </w:r>
          </w:p>
        </w:tc>
      </w:tr>
      <w:tr w:rsidR="00390A9C" w:rsidRPr="00F16DAC" w14:paraId="26D75890" w14:textId="77777777" w:rsidTr="00D3321D">
        <w:trPr>
          <w:trHeight w:val="79"/>
          <w:jc w:val="center"/>
        </w:trPr>
        <w:tc>
          <w:tcPr>
            <w:tcW w:w="5807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EE69D44" w14:textId="1AA7B756" w:rsidR="00390A9C" w:rsidRPr="00F16DAC" w:rsidRDefault="00390A9C" w:rsidP="004254DE">
            <w:pPr>
              <w:pStyle w:val="Rodap"/>
              <w:rPr>
                <w:rFonts w:cstheme="minorHAnsi"/>
                <w:sz w:val="20"/>
                <w:szCs w:val="20"/>
              </w:rPr>
            </w:pPr>
            <w:r w:rsidRPr="00F16DAC">
              <w:rPr>
                <w:rFonts w:cstheme="minorHAnsi"/>
                <w:sz w:val="20"/>
                <w:szCs w:val="20"/>
              </w:rPr>
              <w:t>São utilizados materiais radioativos nesta área? Se sim</w:t>
            </w:r>
            <w:r w:rsidR="00CF2E6D" w:rsidRPr="00F16DAC">
              <w:rPr>
                <w:rFonts w:cstheme="minorHAnsi"/>
                <w:sz w:val="20"/>
                <w:szCs w:val="20"/>
              </w:rPr>
              <w:t>, aplicar o Formulário de Avaliação das Condições de Segurança para Radiações Ionizantes e Não-ionizantes.</w:t>
            </w:r>
          </w:p>
        </w:tc>
        <w:tc>
          <w:tcPr>
            <w:tcW w:w="635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02C0EC0" w14:textId="77777777" w:rsidR="00390A9C" w:rsidRPr="00887B5F" w:rsidRDefault="00390A9C" w:rsidP="004254DE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053E9573" w14:textId="08792BC2" w:rsidR="00390A9C" w:rsidRPr="00887B5F" w:rsidRDefault="00390A9C" w:rsidP="004254DE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4CF80B02" w14:textId="70CC38FC" w:rsidR="00390A9C" w:rsidRPr="00887B5F" w:rsidRDefault="00390A9C" w:rsidP="004254DE">
            <w:pPr>
              <w:pStyle w:val="Rodap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bottom w:val="single" w:sz="4" w:space="0" w:color="A5A5A5" w:themeColor="accent3"/>
            </w:tcBorders>
            <w:shd w:val="clear" w:color="auto" w:fill="auto"/>
          </w:tcPr>
          <w:p w14:paraId="62CB2856" w14:textId="7173568C" w:rsidR="00390A9C" w:rsidRPr="00F16DAC" w:rsidRDefault="00390A9C" w:rsidP="007B36E5">
            <w:pPr>
              <w:pStyle w:val="Rodap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6DAC" w:rsidRPr="00F16DAC" w14:paraId="6B29F507" w14:textId="77777777" w:rsidTr="00331A5C">
        <w:trPr>
          <w:trHeight w:val="79"/>
          <w:jc w:val="center"/>
        </w:trPr>
        <w:tc>
          <w:tcPr>
            <w:tcW w:w="5807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ECA4936" w14:textId="77777777" w:rsidR="00F16DAC" w:rsidRPr="00F16DAC" w:rsidRDefault="00F16DAC" w:rsidP="004254DE">
            <w:pPr>
              <w:pStyle w:val="Rodap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167AA02" w14:textId="77777777" w:rsidR="00F16DAC" w:rsidRPr="00F16DAC" w:rsidRDefault="00F16DAC" w:rsidP="004254DE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0F1DF46" w14:textId="77777777" w:rsidR="00F16DAC" w:rsidRPr="00F16DAC" w:rsidRDefault="00F16DAC" w:rsidP="004254DE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0A0F6463" w14:textId="77777777" w:rsidR="00F16DAC" w:rsidRPr="00F16DAC" w:rsidRDefault="00F16DAC" w:rsidP="004254DE">
            <w:pPr>
              <w:pStyle w:val="Rodap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0B8AE96F" w14:textId="77777777" w:rsidR="00F16DAC" w:rsidRPr="00F16DAC" w:rsidRDefault="00F16DAC" w:rsidP="007B36E5">
            <w:pPr>
              <w:pStyle w:val="Rodap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14F0" w:rsidRPr="00F16DAC" w14:paraId="5F3F94C9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top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38BA4D7" w14:textId="0770EC18" w:rsidR="001F14F0" w:rsidRPr="00F16DAC" w:rsidRDefault="0044499F" w:rsidP="00E0790D">
            <w:pPr>
              <w:pStyle w:val="Rodap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  <w:r w:rsidR="00201F82" w:rsidRPr="00F16DAC">
              <w:rPr>
                <w:b/>
                <w:bCs/>
              </w:rPr>
              <w:t>. OBSERVAÇÕES</w:t>
            </w:r>
          </w:p>
        </w:tc>
      </w:tr>
      <w:tr w:rsidR="004D5496" w:rsidRPr="00F16DAC" w14:paraId="0E9B5C13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76411BE0" w14:textId="77777777" w:rsidR="00976647" w:rsidRDefault="00976647" w:rsidP="00A755E5">
            <w:pPr>
              <w:spacing w:after="40" w:line="240" w:lineRule="auto"/>
              <w:ind w:firstLine="604"/>
              <w:jc w:val="both"/>
              <w:rPr>
                <w:bCs/>
              </w:rPr>
            </w:pPr>
          </w:p>
          <w:p w14:paraId="738FA049" w14:textId="77777777" w:rsidR="001D7438" w:rsidRDefault="001D7438" w:rsidP="00A755E5">
            <w:pPr>
              <w:spacing w:after="40" w:line="240" w:lineRule="auto"/>
              <w:ind w:firstLine="604"/>
              <w:jc w:val="both"/>
              <w:rPr>
                <w:bCs/>
              </w:rPr>
            </w:pPr>
          </w:p>
          <w:p w14:paraId="46ED09BC" w14:textId="662FD949" w:rsidR="001D7438" w:rsidRPr="00B97732" w:rsidRDefault="001D7438" w:rsidP="00A755E5">
            <w:pPr>
              <w:spacing w:after="40" w:line="240" w:lineRule="auto"/>
              <w:ind w:firstLine="604"/>
              <w:jc w:val="both"/>
              <w:rPr>
                <w:bCs/>
              </w:rPr>
            </w:pPr>
          </w:p>
        </w:tc>
      </w:tr>
      <w:tr w:rsidR="004D5496" w:rsidRPr="00F16DAC" w14:paraId="730BA7DF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E2F2E2E" w14:textId="029E3575" w:rsidR="004D5496" w:rsidRPr="00F16DAC" w:rsidRDefault="004D5496" w:rsidP="004D5496">
            <w:pPr>
              <w:pStyle w:val="Rodap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5496" w:rsidRPr="00F16DAC" w14:paraId="1CF9F477" w14:textId="77777777" w:rsidTr="00331A5C">
        <w:trPr>
          <w:trHeight w:val="79"/>
          <w:jc w:val="center"/>
        </w:trPr>
        <w:tc>
          <w:tcPr>
            <w:tcW w:w="9638" w:type="dxa"/>
            <w:gridSpan w:val="5"/>
            <w:tcBorders>
              <w:top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B2EC9A2" w14:textId="54D933EA" w:rsidR="004D5496" w:rsidRPr="00F16DAC" w:rsidRDefault="0044499F" w:rsidP="004D5496">
            <w:pPr>
              <w:pStyle w:val="Rodap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="004D5496" w:rsidRPr="00F16DAC">
              <w:rPr>
                <w:b/>
                <w:bCs/>
              </w:rPr>
              <w:t xml:space="preserve">. </w:t>
            </w:r>
            <w:r w:rsidR="004E1BCC">
              <w:rPr>
                <w:b/>
                <w:bCs/>
              </w:rPr>
              <w:t>TERMO DE COMPROMISSO</w:t>
            </w:r>
            <w:r w:rsidR="00672BCF">
              <w:rPr>
                <w:b/>
                <w:bCs/>
              </w:rPr>
              <w:t xml:space="preserve"> DO COORDENADOR DO LABORATÓRIO</w:t>
            </w:r>
          </w:p>
        </w:tc>
      </w:tr>
      <w:tr w:rsidR="004D5496" w:rsidRPr="00BA1E54" w14:paraId="6C9DA028" w14:textId="77777777" w:rsidTr="00D64727">
        <w:trPr>
          <w:trHeight w:val="79"/>
          <w:jc w:val="center"/>
        </w:trPr>
        <w:tc>
          <w:tcPr>
            <w:tcW w:w="9638" w:type="dxa"/>
            <w:gridSpan w:val="5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475FEC4A" w14:textId="77777777" w:rsidR="006D7321" w:rsidRDefault="004E1BCC" w:rsidP="00E6220B">
            <w:pPr>
              <w:pStyle w:val="Rodap"/>
              <w:spacing w:before="160" w:after="160"/>
              <w:ind w:firstLine="703"/>
              <w:jc w:val="both"/>
              <w:rPr>
                <w:rFonts w:cs="Calibri"/>
                <w:color w:val="000000"/>
              </w:rPr>
            </w:pPr>
            <w:r w:rsidRPr="004E1BCC">
              <w:rPr>
                <w:rFonts w:cs="Calibri"/>
                <w:color w:val="000000"/>
              </w:rPr>
              <w:t>Declaro que as informações acima prestadas são verdadeiras, e assumo a inteira responsabilidade pelas mesmas.</w:t>
            </w:r>
          </w:p>
          <w:p w14:paraId="22754A46" w14:textId="269627B3" w:rsidR="00672BCF" w:rsidRDefault="00672BCF" w:rsidP="00672BCF">
            <w:pPr>
              <w:pStyle w:val="Rodap"/>
              <w:spacing w:before="160" w:after="160"/>
              <w:jc w:val="center"/>
              <w:rPr>
                <w:bCs/>
              </w:rPr>
            </w:pPr>
            <w:r w:rsidRPr="005E23B9">
              <w:rPr>
                <w:bCs/>
              </w:rPr>
              <w:t xml:space="preserve">Rio de Janeiro,  </w:t>
            </w:r>
            <w:r w:rsidR="00C238BB" w:rsidRPr="00C238BB">
              <w:rPr>
                <w:bCs/>
                <w:color w:val="AEAAAA" w:themeColor="background2" w:themeShade="BF"/>
              </w:rPr>
              <w:t>&lt;dd&gt;</w:t>
            </w:r>
            <w:r w:rsidRPr="00C238BB">
              <w:rPr>
                <w:bCs/>
                <w:color w:val="AEAAAA" w:themeColor="background2" w:themeShade="BF"/>
              </w:rPr>
              <w:t xml:space="preserve"> </w:t>
            </w:r>
            <w:r w:rsidRPr="00ED5FF3">
              <w:rPr>
                <w:bCs/>
              </w:rPr>
              <w:t xml:space="preserve">de </w:t>
            </w:r>
            <w:r w:rsidR="00C238BB" w:rsidRPr="00C238BB">
              <w:rPr>
                <w:bCs/>
                <w:color w:val="AEAAAA" w:themeColor="background2" w:themeShade="BF"/>
              </w:rPr>
              <w:t>&lt;mm&gt;</w:t>
            </w:r>
            <w:r w:rsidRPr="00ED5FF3">
              <w:rPr>
                <w:bCs/>
              </w:rPr>
              <w:t xml:space="preserve">  de </w:t>
            </w:r>
            <w:r w:rsidR="00C238BB" w:rsidRPr="00C238BB">
              <w:rPr>
                <w:bCs/>
                <w:color w:val="AEAAAA" w:themeColor="background2" w:themeShade="BF"/>
              </w:rPr>
              <w:t>&lt;aaaa&gt;</w:t>
            </w:r>
            <w:r w:rsidRPr="00ED5FF3">
              <w:rPr>
                <w:bCs/>
              </w:rPr>
              <w:t>.</w:t>
            </w:r>
          </w:p>
          <w:p w14:paraId="0985EFD2" w14:textId="77777777" w:rsidR="00672BCF" w:rsidRDefault="00672BCF" w:rsidP="00672BCF">
            <w:pPr>
              <w:spacing w:after="40" w:line="240" w:lineRule="auto"/>
              <w:jc w:val="center"/>
              <w:rPr>
                <w:bCs/>
              </w:rPr>
            </w:pPr>
          </w:p>
          <w:p w14:paraId="62777144" w14:textId="77777777" w:rsidR="00D64727" w:rsidRDefault="00D64727" w:rsidP="00672BCF">
            <w:pPr>
              <w:spacing w:after="40" w:line="240" w:lineRule="auto"/>
              <w:jc w:val="center"/>
              <w:rPr>
                <w:bCs/>
              </w:rPr>
            </w:pPr>
          </w:p>
          <w:p w14:paraId="1DD04E69" w14:textId="77777777" w:rsidR="00672BCF" w:rsidRDefault="00672BCF" w:rsidP="00672BCF">
            <w:pPr>
              <w:spacing w:after="40" w:line="240" w:lineRule="auto"/>
              <w:jc w:val="center"/>
              <w:rPr>
                <w:bCs/>
              </w:rPr>
            </w:pPr>
          </w:p>
          <w:p w14:paraId="724E1072" w14:textId="77777777" w:rsidR="00672BCF" w:rsidRDefault="00672BCF" w:rsidP="00672BCF">
            <w:pPr>
              <w:spacing w:after="40" w:line="240" w:lineRule="auto"/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</w:t>
            </w:r>
          </w:p>
          <w:p w14:paraId="37D9D85B" w14:textId="6E3A0586" w:rsidR="00672BCF" w:rsidRDefault="00672BCF" w:rsidP="00672BCF">
            <w:pPr>
              <w:spacing w:after="40" w:line="240" w:lineRule="auto"/>
              <w:jc w:val="center"/>
              <w:rPr>
                <w:bCs/>
              </w:rPr>
            </w:pPr>
            <w:r>
              <w:rPr>
                <w:bCs/>
              </w:rPr>
              <w:t>Prof</w:t>
            </w:r>
            <w:r w:rsidR="00877265">
              <w:rPr>
                <w:rFonts w:cs="Calibri"/>
                <w:bCs/>
              </w:rPr>
              <w:t>.</w:t>
            </w:r>
            <w:r w:rsidR="001A6339">
              <w:rPr>
                <w:rFonts w:cs="Calibri"/>
                <w:bCs/>
              </w:rPr>
              <w:t xml:space="preserve"> (a)</w:t>
            </w:r>
            <w:r w:rsidR="001A6339" w:rsidRPr="00C34F6C">
              <w:rPr>
                <w:rFonts w:eastAsia="Times New Roman" w:cstheme="minorHAnsi"/>
                <w:color w:val="AEAAAA" w:themeColor="background2" w:themeShade="BF"/>
              </w:rPr>
              <w:t xml:space="preserve"> &lt;inserir </w:t>
            </w:r>
            <w:r w:rsidR="001A6339">
              <w:rPr>
                <w:rFonts w:eastAsia="Times New Roman" w:cstheme="minorHAnsi"/>
                <w:color w:val="AEAAAA" w:themeColor="background2" w:themeShade="BF"/>
              </w:rPr>
              <w:t>nome</w:t>
            </w:r>
            <w:r w:rsidR="00643C27">
              <w:rPr>
                <w:rFonts w:eastAsia="Times New Roman" w:cstheme="minorHAnsi"/>
                <w:color w:val="AEAAAA" w:themeColor="background2" w:themeShade="BF"/>
              </w:rPr>
              <w:t xml:space="preserve"> e SIAPE</w:t>
            </w:r>
            <w:r w:rsidR="001A6339">
              <w:rPr>
                <w:rFonts w:eastAsia="Times New Roman" w:cstheme="minorHAnsi"/>
                <w:color w:val="AEAAAA" w:themeColor="background2" w:themeShade="BF"/>
              </w:rPr>
              <w:t xml:space="preserve"> do coordenador do laboratório</w:t>
            </w:r>
            <w:r w:rsidR="001A6339" w:rsidRPr="00C34F6C">
              <w:rPr>
                <w:rFonts w:eastAsia="Times New Roman" w:cstheme="minorHAnsi"/>
                <w:color w:val="AEAAAA" w:themeColor="background2" w:themeShade="BF"/>
              </w:rPr>
              <w:t>&gt;</w:t>
            </w:r>
          </w:p>
          <w:p w14:paraId="1FE9EFB4" w14:textId="52E89EF7" w:rsidR="00672BCF" w:rsidRPr="00E6220B" w:rsidRDefault="00672BCF" w:rsidP="00672BCF">
            <w:pPr>
              <w:pStyle w:val="Rodap"/>
              <w:spacing w:before="160" w:after="160"/>
              <w:jc w:val="center"/>
              <w:rPr>
                <w:rFonts w:cs="Calibri"/>
                <w:color w:val="000000"/>
              </w:rPr>
            </w:pPr>
            <w:r>
              <w:rPr>
                <w:bCs/>
              </w:rPr>
              <w:t xml:space="preserve">Coordenador do </w:t>
            </w:r>
            <w:r w:rsidR="001A6339">
              <w:rPr>
                <w:bCs/>
              </w:rPr>
              <w:t>NQ</w:t>
            </w:r>
            <w:r w:rsidR="00E76016">
              <w:rPr>
                <w:bCs/>
              </w:rPr>
              <w:t>T</w:t>
            </w:r>
            <w:r w:rsidR="001A6339">
              <w:rPr>
                <w:bCs/>
              </w:rPr>
              <w:t>R</w:t>
            </w:r>
          </w:p>
        </w:tc>
      </w:tr>
    </w:tbl>
    <w:p w14:paraId="3F90EC62" w14:textId="6C584A5C" w:rsidR="001E39FA" w:rsidRDefault="001E39FA" w:rsidP="00016FFC">
      <w:pPr>
        <w:rPr>
          <w:bCs/>
        </w:rPr>
      </w:pPr>
    </w:p>
    <w:p w14:paraId="620AA5AB" w14:textId="2925CD95" w:rsidR="00672BCF" w:rsidRPr="00C976E8" w:rsidRDefault="00672BCF" w:rsidP="00016FFC">
      <w:pPr>
        <w:rPr>
          <w:bCs/>
        </w:rPr>
      </w:pPr>
    </w:p>
    <w:sectPr w:rsidR="00672BCF" w:rsidRPr="00C976E8" w:rsidSect="00987C27">
      <w:headerReference w:type="default" r:id="rId8"/>
      <w:footerReference w:type="default" r:id="rId9"/>
      <w:pgSz w:w="11906" w:h="16838"/>
      <w:pgMar w:top="2835" w:right="849" w:bottom="1418" w:left="1418" w:header="567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0BD2" w14:textId="77777777" w:rsidR="005215DD" w:rsidRDefault="005215DD" w:rsidP="0006581D">
      <w:pPr>
        <w:spacing w:after="0" w:line="240" w:lineRule="auto"/>
      </w:pPr>
      <w:r>
        <w:separator/>
      </w:r>
    </w:p>
  </w:endnote>
  <w:endnote w:type="continuationSeparator" w:id="0">
    <w:p w14:paraId="4F71F058" w14:textId="77777777" w:rsidR="005215DD" w:rsidRDefault="005215DD" w:rsidP="0006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06"/>
    </w:tblGrid>
    <w:tr w:rsidR="0006581D" w:rsidRPr="00BF678C" w14:paraId="2607AF8A" w14:textId="77777777" w:rsidTr="00E0790D">
      <w:tc>
        <w:tcPr>
          <w:tcW w:w="9606" w:type="dxa"/>
          <w:shd w:val="clear" w:color="auto" w:fill="auto"/>
        </w:tcPr>
        <w:p w14:paraId="768B2645" w14:textId="77777777" w:rsidR="0006581D" w:rsidRDefault="0006581D" w:rsidP="0073098E">
          <w:pPr>
            <w:pStyle w:val="Rodap"/>
            <w:jc w:val="center"/>
            <w:rPr>
              <w:rFonts w:ascii="Calibri" w:hAnsi="Calibri" w:cs="Calibri"/>
              <w:sz w:val="18"/>
              <w:szCs w:val="18"/>
            </w:rPr>
          </w:pPr>
          <w:r w:rsidRPr="00C3654C">
            <w:rPr>
              <w:rFonts w:ascii="Calibri" w:hAnsi="Calibri" w:cs="Calibri"/>
              <w:sz w:val="18"/>
              <w:szCs w:val="18"/>
            </w:rPr>
            <w:t xml:space="preserve">Av. Athos da Silveira Ramos, n° 149, Bloco A, 7º andar – </w:t>
          </w:r>
          <w:r>
            <w:rPr>
              <w:rFonts w:ascii="Calibri" w:hAnsi="Calibri" w:cs="Calibri"/>
              <w:sz w:val="18"/>
              <w:szCs w:val="18"/>
            </w:rPr>
            <w:t>IQ</w:t>
          </w:r>
          <w:r w:rsidRPr="00C3654C">
            <w:rPr>
              <w:rFonts w:ascii="Calibri" w:hAnsi="Calibri" w:cs="Calibri"/>
              <w:sz w:val="18"/>
              <w:szCs w:val="18"/>
            </w:rPr>
            <w:t xml:space="preserve">/UFRJ – </w:t>
          </w:r>
          <w:r>
            <w:rPr>
              <w:rFonts w:ascii="Calibri" w:hAnsi="Calibri" w:cs="Calibri"/>
              <w:sz w:val="18"/>
              <w:szCs w:val="18"/>
            </w:rPr>
            <w:t>CT</w:t>
          </w:r>
          <w:r w:rsidRPr="00C3654C">
            <w:rPr>
              <w:rFonts w:ascii="Calibri" w:hAnsi="Calibri" w:cs="Calibri"/>
              <w:sz w:val="18"/>
              <w:szCs w:val="18"/>
            </w:rPr>
            <w:t xml:space="preserve">, </w:t>
          </w:r>
          <w:r>
            <w:rPr>
              <w:rFonts w:ascii="Calibri" w:hAnsi="Calibri" w:cs="Calibri"/>
              <w:sz w:val="18"/>
              <w:szCs w:val="18"/>
            </w:rPr>
            <w:t>CDU</w:t>
          </w:r>
          <w:r w:rsidRPr="00C3654C">
            <w:rPr>
              <w:rFonts w:ascii="Calibri" w:hAnsi="Calibri" w:cs="Calibri"/>
              <w:sz w:val="18"/>
              <w:szCs w:val="18"/>
            </w:rPr>
            <w:t xml:space="preserve"> - Rio de Janeiro, RJ - CEP 21941-909</w:t>
          </w:r>
        </w:p>
        <w:p w14:paraId="3AD8B0E9" w14:textId="0D16927E" w:rsidR="000236FB" w:rsidRPr="0073098E" w:rsidRDefault="000236FB" w:rsidP="0073098E">
          <w:pPr>
            <w:pStyle w:val="Rodap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www.iq.ufrj.br</w:t>
          </w:r>
        </w:p>
      </w:tc>
    </w:tr>
  </w:tbl>
  <w:p w14:paraId="6B9D1E84" w14:textId="77777777" w:rsidR="0006581D" w:rsidRDefault="000658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9E6C" w14:textId="77777777" w:rsidR="005215DD" w:rsidRDefault="005215DD" w:rsidP="0006581D">
      <w:pPr>
        <w:spacing w:after="0" w:line="240" w:lineRule="auto"/>
      </w:pPr>
      <w:r>
        <w:separator/>
      </w:r>
    </w:p>
  </w:footnote>
  <w:footnote w:type="continuationSeparator" w:id="0">
    <w:p w14:paraId="626D5CD0" w14:textId="77777777" w:rsidR="005215DD" w:rsidRDefault="005215DD" w:rsidP="0006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7A56" w14:textId="77777777" w:rsidR="00B71B14" w:rsidRPr="00B71B14" w:rsidRDefault="00B71B14" w:rsidP="00B71B14">
    <w:pPr>
      <w:spacing w:after="0"/>
    </w:pPr>
  </w:p>
  <w:tbl>
    <w:tblPr>
      <w:tblW w:w="95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28"/>
      <w:gridCol w:w="4588"/>
      <w:gridCol w:w="1134"/>
      <w:gridCol w:w="283"/>
      <w:gridCol w:w="1616"/>
    </w:tblGrid>
    <w:tr w:rsidR="003D452C" w14:paraId="03659749" w14:textId="77777777" w:rsidTr="00E0790D">
      <w:trPr>
        <w:trHeight w:val="1406"/>
        <w:jc w:val="center"/>
      </w:trPr>
      <w:tc>
        <w:tcPr>
          <w:tcW w:w="1928" w:type="dxa"/>
          <w:shd w:val="clear" w:color="auto" w:fill="auto"/>
          <w:vAlign w:val="center"/>
        </w:tcPr>
        <w:p w14:paraId="22CDC094" w14:textId="77777777" w:rsidR="003D452C" w:rsidRDefault="003D452C" w:rsidP="003D452C">
          <w:pPr>
            <w:pStyle w:val="Cabealho"/>
            <w:jc w:val="center"/>
            <w:rPr>
              <w:rFonts w:ascii="Calibri" w:hAnsi="Calibri" w:cs="Calibri"/>
              <w:b/>
            </w:rPr>
          </w:pPr>
          <w:r>
            <w:rPr>
              <w:noProof/>
            </w:rPr>
            <w:drawing>
              <wp:inline distT="0" distB="0" distL="0" distR="0" wp14:anchorId="45F767FF" wp14:editId="3F5D6FA3">
                <wp:extent cx="980237" cy="853258"/>
                <wp:effectExtent l="0" t="0" r="0" b="4445"/>
                <wp:docPr id="1882910115" name="Imagem 1882910115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174534" name="Imagem 2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03" b="12289"/>
                        <a:stretch/>
                      </pic:blipFill>
                      <pic:spPr bwMode="auto">
                        <a:xfrm>
                          <a:off x="0" y="0"/>
                          <a:ext cx="990997" cy="862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gridSpan w:val="2"/>
          <w:shd w:val="clear" w:color="auto" w:fill="auto"/>
        </w:tcPr>
        <w:p w14:paraId="4A61AEF4" w14:textId="77777777" w:rsidR="003D452C" w:rsidRDefault="003D452C" w:rsidP="003D452C">
          <w:pPr>
            <w:pStyle w:val="Cabealho"/>
            <w:spacing w:before="160"/>
          </w:pPr>
          <w:r>
            <w:rPr>
              <w:rFonts w:ascii="Calibri" w:hAnsi="Calibri" w:cs="Calibri"/>
              <w:b/>
            </w:rPr>
            <w:t>UNIVERSIDADE FEDERAL DO RIO DE JANEIRO</w:t>
          </w:r>
        </w:p>
        <w:p w14:paraId="2081A188" w14:textId="77777777" w:rsidR="003D452C" w:rsidRPr="001F0D0F" w:rsidRDefault="003D452C" w:rsidP="003D452C">
          <w:pPr>
            <w:pStyle w:val="Cabealho"/>
            <w:tabs>
              <w:tab w:val="left" w:pos="5310"/>
            </w:tabs>
            <w:ind w:left="34"/>
            <w:jc w:val="both"/>
          </w:pPr>
          <w:r w:rsidRPr="001F0D0F">
            <w:rPr>
              <w:rFonts w:ascii="Calibri" w:hAnsi="Calibri" w:cs="Calibri"/>
            </w:rPr>
            <w:t>Centro de Ciências Matemáticas e da Natureza – CCMN</w:t>
          </w:r>
        </w:p>
        <w:p w14:paraId="281E9E8C" w14:textId="77777777" w:rsidR="003D452C" w:rsidRPr="001F0D0F" w:rsidRDefault="003D452C" w:rsidP="003D452C">
          <w:pPr>
            <w:pStyle w:val="Cabealho"/>
            <w:tabs>
              <w:tab w:val="left" w:pos="5310"/>
            </w:tabs>
            <w:ind w:left="34"/>
            <w:jc w:val="both"/>
            <w:rPr>
              <w:rFonts w:ascii="Calibri" w:hAnsi="Calibri" w:cs="Calibri"/>
            </w:rPr>
          </w:pPr>
          <w:r w:rsidRPr="001F0D0F">
            <w:rPr>
              <w:rFonts w:ascii="Calibri" w:hAnsi="Calibri" w:cs="Calibri"/>
            </w:rPr>
            <w:t>Instituto de Química – IQ</w:t>
          </w:r>
        </w:p>
        <w:p w14:paraId="39B526EB" w14:textId="1FBDE367" w:rsidR="003D452C" w:rsidRPr="004B4BEE" w:rsidRDefault="003D452C" w:rsidP="003D452C">
          <w:pPr>
            <w:pStyle w:val="Cabealho"/>
            <w:tabs>
              <w:tab w:val="left" w:pos="5310"/>
            </w:tabs>
            <w:ind w:left="34"/>
          </w:pPr>
          <w:r w:rsidRPr="001F0D0F">
            <w:rPr>
              <w:rFonts w:ascii="Calibri" w:hAnsi="Calibri" w:cs="Calibri"/>
            </w:rPr>
            <w:t>Comissão de Segurança Química – CSQ</w:t>
          </w:r>
        </w:p>
      </w:tc>
      <w:tc>
        <w:tcPr>
          <w:tcW w:w="1899" w:type="dxa"/>
          <w:gridSpan w:val="2"/>
          <w:vAlign w:val="center"/>
        </w:tcPr>
        <w:p w14:paraId="75A2D8D7" w14:textId="77777777" w:rsidR="003D452C" w:rsidRDefault="003D452C" w:rsidP="003D452C">
          <w:pPr>
            <w:pStyle w:val="Cabealho"/>
            <w:snapToGrid w:val="0"/>
            <w:ind w:left="-77"/>
            <w:jc w:val="center"/>
            <w:rPr>
              <w:rFonts w:ascii="Calibri" w:hAnsi="Calibri" w:cs="Calibri"/>
              <w:b/>
            </w:rPr>
          </w:pPr>
          <w:r>
            <w:rPr>
              <w:noProof/>
            </w:rPr>
            <w:drawing>
              <wp:inline distT="0" distB="0" distL="0" distR="0" wp14:anchorId="7E909D6C" wp14:editId="0CF436F1">
                <wp:extent cx="1148715" cy="855980"/>
                <wp:effectExtent l="0" t="0" r="0" b="1270"/>
                <wp:docPr id="123949153" name="Imagem 123949153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6002591" name="Imagem 1" descr="Logotip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0" r="3667" b="4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452C" w:rsidRPr="009A2082" w14:paraId="25E1BEE9" w14:textId="77777777" w:rsidTr="00E0790D">
      <w:trPr>
        <w:trHeight w:val="408"/>
        <w:jc w:val="center"/>
      </w:trPr>
      <w:tc>
        <w:tcPr>
          <w:tcW w:w="1928" w:type="dxa"/>
          <w:shd w:val="clear" w:color="auto" w:fill="auto"/>
          <w:vAlign w:val="center"/>
        </w:tcPr>
        <w:p w14:paraId="6B6983A3" w14:textId="77777777" w:rsidR="003D452C" w:rsidRPr="009A2082" w:rsidRDefault="003D452C" w:rsidP="003D452C">
          <w:pPr>
            <w:pStyle w:val="Cabealho"/>
            <w:rPr>
              <w:noProof/>
              <w:sz w:val="20"/>
              <w:szCs w:val="20"/>
            </w:rPr>
          </w:pPr>
          <w:r w:rsidRPr="009A2082">
            <w:rPr>
              <w:noProof/>
              <w:sz w:val="20"/>
              <w:szCs w:val="20"/>
            </w:rPr>
            <w:t>Tipo do Documento</w:t>
          </w:r>
        </w:p>
      </w:tc>
      <w:tc>
        <w:tcPr>
          <w:tcW w:w="4588" w:type="dxa"/>
          <w:shd w:val="clear" w:color="auto" w:fill="auto"/>
          <w:vAlign w:val="center"/>
        </w:tcPr>
        <w:p w14:paraId="49EC064A" w14:textId="3F04550B" w:rsidR="003D452C" w:rsidRPr="009A2082" w:rsidRDefault="003D452C" w:rsidP="003D452C">
          <w:pPr>
            <w:pStyle w:val="Cabealho"/>
            <w:snapToGrid w:val="0"/>
            <w:ind w:left="-77"/>
            <w:jc w:val="center"/>
            <w:rPr>
              <w:bCs/>
              <w:noProof/>
              <w:sz w:val="20"/>
              <w:szCs w:val="20"/>
            </w:rPr>
          </w:pPr>
          <w:r>
            <w:rPr>
              <w:rFonts w:ascii="Calibri" w:hAnsi="Calibri" w:cs="Calibri"/>
              <w:bCs/>
              <w:sz w:val="20"/>
              <w:szCs w:val="20"/>
            </w:rPr>
            <w:t>FORMULÁRIO</w:t>
          </w:r>
        </w:p>
      </w:tc>
      <w:tc>
        <w:tcPr>
          <w:tcW w:w="1417" w:type="dxa"/>
          <w:gridSpan w:val="2"/>
          <w:shd w:val="clear" w:color="auto" w:fill="auto"/>
          <w:vAlign w:val="center"/>
        </w:tcPr>
        <w:p w14:paraId="7EBA2B4E" w14:textId="75E2A088" w:rsidR="003D452C" w:rsidRPr="009A2082" w:rsidRDefault="003D452C" w:rsidP="003D452C">
          <w:pPr>
            <w:pStyle w:val="Cabealho"/>
            <w:snapToGrid w:val="0"/>
            <w:ind w:left="-77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FR</w:t>
          </w:r>
          <w:r w:rsidRPr="009A2082">
            <w:rPr>
              <w:noProof/>
              <w:sz w:val="20"/>
              <w:szCs w:val="20"/>
            </w:rPr>
            <w:t>-</w:t>
          </w:r>
          <w:r w:rsidR="00C375D5">
            <w:rPr>
              <w:noProof/>
              <w:sz w:val="20"/>
              <w:szCs w:val="20"/>
            </w:rPr>
            <w:t>6</w:t>
          </w:r>
          <w:r w:rsidRPr="009A2082">
            <w:rPr>
              <w:noProof/>
              <w:sz w:val="20"/>
              <w:szCs w:val="20"/>
            </w:rPr>
            <w:t>-CSQ</w:t>
          </w:r>
        </w:p>
      </w:tc>
      <w:tc>
        <w:tcPr>
          <w:tcW w:w="1616" w:type="dxa"/>
          <w:shd w:val="clear" w:color="auto" w:fill="auto"/>
          <w:vAlign w:val="center"/>
        </w:tcPr>
        <w:p w14:paraId="471C5B27" w14:textId="285E3F25" w:rsidR="003D452C" w:rsidRPr="009A2082" w:rsidRDefault="003D452C" w:rsidP="003D452C">
          <w:pPr>
            <w:pStyle w:val="Rodap"/>
            <w:rPr>
              <w:rFonts w:ascii="Calibri" w:hAnsi="Calibri" w:cs="Calibri"/>
              <w:color w:val="000000"/>
              <w:sz w:val="20"/>
              <w:szCs w:val="20"/>
            </w:rPr>
          </w:pPr>
          <w:r w:rsidRPr="009A2082">
            <w:rPr>
              <w:rFonts w:ascii="Calibri" w:hAnsi="Calibri" w:cs="Calibri"/>
              <w:color w:val="000000"/>
              <w:sz w:val="20"/>
              <w:szCs w:val="20"/>
            </w:rPr>
            <w:t xml:space="preserve">Versão: </w:t>
          </w:r>
          <w:r w:rsidR="00C375D5">
            <w:rPr>
              <w:rFonts w:ascii="Calibri" w:hAnsi="Calibri" w:cs="Calibri"/>
              <w:color w:val="000000"/>
              <w:sz w:val="20"/>
              <w:szCs w:val="20"/>
            </w:rPr>
            <w:t>0</w:t>
          </w:r>
        </w:p>
      </w:tc>
    </w:tr>
    <w:tr w:rsidR="003D452C" w:rsidRPr="009A2082" w14:paraId="33757D44" w14:textId="77777777" w:rsidTr="00E0790D">
      <w:trPr>
        <w:trHeight w:val="408"/>
        <w:jc w:val="center"/>
      </w:trPr>
      <w:tc>
        <w:tcPr>
          <w:tcW w:w="1928" w:type="dxa"/>
          <w:shd w:val="clear" w:color="auto" w:fill="auto"/>
          <w:vAlign w:val="center"/>
        </w:tcPr>
        <w:p w14:paraId="6065BF05" w14:textId="77777777" w:rsidR="003D452C" w:rsidRPr="009A2082" w:rsidRDefault="003D452C" w:rsidP="003D452C">
          <w:pPr>
            <w:pStyle w:val="Cabealho"/>
            <w:rPr>
              <w:noProof/>
              <w:sz w:val="20"/>
              <w:szCs w:val="20"/>
            </w:rPr>
          </w:pPr>
          <w:r w:rsidRPr="009A2082">
            <w:rPr>
              <w:noProof/>
              <w:sz w:val="20"/>
              <w:szCs w:val="20"/>
            </w:rPr>
            <w:t>Título do Documento</w:t>
          </w:r>
        </w:p>
      </w:tc>
      <w:tc>
        <w:tcPr>
          <w:tcW w:w="4588" w:type="dxa"/>
          <w:shd w:val="clear" w:color="auto" w:fill="auto"/>
          <w:vAlign w:val="center"/>
        </w:tcPr>
        <w:p w14:paraId="3A5DFC82" w14:textId="16314D27" w:rsidR="003D452C" w:rsidRPr="009A2082" w:rsidRDefault="003D452C" w:rsidP="003D452C">
          <w:pPr>
            <w:pStyle w:val="Cabealho"/>
            <w:snapToGrid w:val="0"/>
            <w:ind w:left="-77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D87AFD">
            <w:rPr>
              <w:rFonts w:cstheme="minorHAnsi"/>
              <w:sz w:val="20"/>
              <w:szCs w:val="20"/>
            </w:rPr>
            <w:t xml:space="preserve">RELATÓRIO DE </w:t>
          </w:r>
          <w:r w:rsidR="00A71F6E">
            <w:rPr>
              <w:rFonts w:cstheme="minorHAnsi"/>
              <w:sz w:val="20"/>
              <w:szCs w:val="20"/>
            </w:rPr>
            <w:t>AUTO</w:t>
          </w:r>
          <w:r w:rsidRPr="00D87AFD">
            <w:rPr>
              <w:rFonts w:cstheme="minorHAnsi"/>
              <w:sz w:val="20"/>
              <w:szCs w:val="20"/>
            </w:rPr>
            <w:t>AVALIAÇÃO DAS CONDIÇÕES DE SEGURANÇA D</w:t>
          </w:r>
          <w:r w:rsidR="00A77171">
            <w:rPr>
              <w:rFonts w:cstheme="minorHAnsi"/>
              <w:sz w:val="20"/>
              <w:szCs w:val="20"/>
            </w:rPr>
            <w:t>E</w:t>
          </w:r>
          <w:r w:rsidRPr="00D87AFD">
            <w:rPr>
              <w:rFonts w:cstheme="minorHAnsi"/>
              <w:sz w:val="20"/>
              <w:szCs w:val="20"/>
            </w:rPr>
            <w:t xml:space="preserve"> LABORATÓRIO</w:t>
          </w:r>
        </w:p>
      </w:tc>
      <w:tc>
        <w:tcPr>
          <w:tcW w:w="1417" w:type="dxa"/>
          <w:gridSpan w:val="2"/>
          <w:shd w:val="clear" w:color="auto" w:fill="auto"/>
          <w:vAlign w:val="center"/>
        </w:tcPr>
        <w:p w14:paraId="42ACCAF6" w14:textId="77777777" w:rsidR="003D452C" w:rsidRPr="009A2082" w:rsidRDefault="003D452C" w:rsidP="003D452C">
          <w:pPr>
            <w:pStyle w:val="Cabealho"/>
            <w:snapToGrid w:val="0"/>
            <w:ind w:left="-77"/>
            <w:jc w:val="center"/>
            <w:rPr>
              <w:noProof/>
              <w:sz w:val="20"/>
              <w:szCs w:val="20"/>
            </w:rPr>
          </w:pPr>
          <w:r w:rsidRPr="009A2082">
            <w:rPr>
              <w:noProof/>
              <w:sz w:val="20"/>
              <w:szCs w:val="20"/>
            </w:rPr>
            <w:t>Emissão:</w:t>
          </w:r>
        </w:p>
        <w:p w14:paraId="79F320FF" w14:textId="70D70F2C" w:rsidR="003D452C" w:rsidRPr="009A2082" w:rsidRDefault="00554C5E" w:rsidP="003D452C">
          <w:pPr>
            <w:pStyle w:val="Cabealho"/>
            <w:snapToGrid w:val="0"/>
            <w:ind w:left="-77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01</w:t>
          </w:r>
          <w:r w:rsidR="003D452C" w:rsidRPr="009A2082">
            <w:rPr>
              <w:noProof/>
              <w:sz w:val="20"/>
              <w:szCs w:val="20"/>
            </w:rPr>
            <w:t>/0</w:t>
          </w:r>
          <w:r>
            <w:rPr>
              <w:noProof/>
              <w:sz w:val="20"/>
              <w:szCs w:val="20"/>
            </w:rPr>
            <w:t>3</w:t>
          </w:r>
          <w:r w:rsidR="003D452C" w:rsidRPr="009A2082">
            <w:rPr>
              <w:noProof/>
              <w:sz w:val="20"/>
              <w:szCs w:val="20"/>
            </w:rPr>
            <w:t>/202</w:t>
          </w:r>
          <w:r w:rsidR="009F2E38">
            <w:rPr>
              <w:noProof/>
              <w:sz w:val="20"/>
              <w:szCs w:val="20"/>
            </w:rPr>
            <w:t>4</w:t>
          </w:r>
        </w:p>
      </w:tc>
      <w:tc>
        <w:tcPr>
          <w:tcW w:w="1616" w:type="dxa"/>
          <w:shd w:val="clear" w:color="auto" w:fill="auto"/>
          <w:vAlign w:val="center"/>
        </w:tcPr>
        <w:p w14:paraId="7F45CA79" w14:textId="77777777" w:rsidR="003D452C" w:rsidRPr="009A2082" w:rsidRDefault="003D452C" w:rsidP="003D452C">
          <w:pPr>
            <w:pStyle w:val="Cabealho"/>
            <w:snapToGrid w:val="0"/>
            <w:ind w:left="-101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9A2082">
            <w:rPr>
              <w:rFonts w:ascii="Calibri" w:hAnsi="Calibri" w:cs="Calibri"/>
              <w:color w:val="000000"/>
              <w:sz w:val="20"/>
              <w:szCs w:val="20"/>
            </w:rPr>
            <w:t xml:space="preserve">Página </w:t>
          </w:r>
          <w:r w:rsidRPr="009A208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fldChar w:fldCharType="begin"/>
          </w:r>
          <w:r w:rsidRPr="009A208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instrText>PAGE  \* Arabic  \* MERGEFORMAT</w:instrText>
          </w:r>
          <w:r w:rsidRPr="009A208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fldChar w:fldCharType="separate"/>
          </w:r>
          <w:r>
            <w:rPr>
              <w:rFonts w:cs="Calibri"/>
              <w:b/>
              <w:bCs/>
              <w:color w:val="000000"/>
              <w:sz w:val="20"/>
              <w:szCs w:val="20"/>
            </w:rPr>
            <w:t>1</w:t>
          </w:r>
          <w:r w:rsidRPr="009A208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fldChar w:fldCharType="end"/>
          </w:r>
          <w:r w:rsidRPr="009A2082">
            <w:rPr>
              <w:rFonts w:ascii="Calibri" w:hAnsi="Calibri" w:cs="Calibri"/>
              <w:color w:val="000000"/>
              <w:sz w:val="20"/>
              <w:szCs w:val="20"/>
            </w:rPr>
            <w:t xml:space="preserve"> de </w:t>
          </w:r>
          <w:r w:rsidRPr="009A208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fldChar w:fldCharType="begin"/>
          </w:r>
          <w:r w:rsidRPr="009A208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instrText>NUMPAGES  \* Arabic  \* MERGEFORMAT</w:instrText>
          </w:r>
          <w:r w:rsidRPr="009A208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fldChar w:fldCharType="separate"/>
          </w:r>
          <w:r>
            <w:rPr>
              <w:rFonts w:cs="Calibri"/>
              <w:b/>
              <w:bCs/>
              <w:color w:val="000000"/>
              <w:sz w:val="20"/>
              <w:szCs w:val="20"/>
            </w:rPr>
            <w:t>14</w:t>
          </w:r>
          <w:r w:rsidRPr="009A208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fldChar w:fldCharType="end"/>
          </w:r>
        </w:p>
      </w:tc>
    </w:tr>
  </w:tbl>
  <w:p w14:paraId="6FBD57D8" w14:textId="77777777" w:rsidR="003D452C" w:rsidRPr="00B71B14" w:rsidRDefault="003D452C" w:rsidP="00B71B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421"/>
    <w:multiLevelType w:val="hybridMultilevel"/>
    <w:tmpl w:val="330A7CD0"/>
    <w:lvl w:ilvl="0" w:tplc="14B0FCFE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11316A"/>
    <w:multiLevelType w:val="hybridMultilevel"/>
    <w:tmpl w:val="55D06690"/>
    <w:lvl w:ilvl="0" w:tplc="B3762F92">
      <w:start w:val="1"/>
      <w:numFmt w:val="lowerRoman"/>
      <w:lvlText w:val="%1)"/>
      <w:lvlJc w:val="left"/>
      <w:pPr>
        <w:ind w:left="1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1" w:hanging="360"/>
      </w:pPr>
    </w:lvl>
    <w:lvl w:ilvl="2" w:tplc="0416001B" w:tentative="1">
      <w:start w:val="1"/>
      <w:numFmt w:val="lowerRoman"/>
      <w:lvlText w:val="%3."/>
      <w:lvlJc w:val="right"/>
      <w:pPr>
        <w:ind w:left="2501" w:hanging="180"/>
      </w:pPr>
    </w:lvl>
    <w:lvl w:ilvl="3" w:tplc="0416000F" w:tentative="1">
      <w:start w:val="1"/>
      <w:numFmt w:val="decimal"/>
      <w:lvlText w:val="%4."/>
      <w:lvlJc w:val="left"/>
      <w:pPr>
        <w:ind w:left="3221" w:hanging="360"/>
      </w:pPr>
    </w:lvl>
    <w:lvl w:ilvl="4" w:tplc="04160019" w:tentative="1">
      <w:start w:val="1"/>
      <w:numFmt w:val="lowerLetter"/>
      <w:lvlText w:val="%5."/>
      <w:lvlJc w:val="left"/>
      <w:pPr>
        <w:ind w:left="3941" w:hanging="360"/>
      </w:pPr>
    </w:lvl>
    <w:lvl w:ilvl="5" w:tplc="0416001B" w:tentative="1">
      <w:start w:val="1"/>
      <w:numFmt w:val="lowerRoman"/>
      <w:lvlText w:val="%6."/>
      <w:lvlJc w:val="right"/>
      <w:pPr>
        <w:ind w:left="4661" w:hanging="180"/>
      </w:pPr>
    </w:lvl>
    <w:lvl w:ilvl="6" w:tplc="0416000F" w:tentative="1">
      <w:start w:val="1"/>
      <w:numFmt w:val="decimal"/>
      <w:lvlText w:val="%7."/>
      <w:lvlJc w:val="left"/>
      <w:pPr>
        <w:ind w:left="5381" w:hanging="360"/>
      </w:pPr>
    </w:lvl>
    <w:lvl w:ilvl="7" w:tplc="04160019" w:tentative="1">
      <w:start w:val="1"/>
      <w:numFmt w:val="lowerLetter"/>
      <w:lvlText w:val="%8."/>
      <w:lvlJc w:val="left"/>
      <w:pPr>
        <w:ind w:left="6101" w:hanging="360"/>
      </w:pPr>
    </w:lvl>
    <w:lvl w:ilvl="8" w:tplc="0416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256D0BF4"/>
    <w:multiLevelType w:val="hybridMultilevel"/>
    <w:tmpl w:val="64BCF89C"/>
    <w:lvl w:ilvl="0" w:tplc="384A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E83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4C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09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CB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C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66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0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8A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AE5D61"/>
    <w:multiLevelType w:val="hybridMultilevel"/>
    <w:tmpl w:val="C5F02D0C"/>
    <w:lvl w:ilvl="0" w:tplc="7108DA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355D30"/>
    <w:multiLevelType w:val="hybridMultilevel"/>
    <w:tmpl w:val="94FCE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4960"/>
    <w:multiLevelType w:val="hybridMultilevel"/>
    <w:tmpl w:val="A41675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FF6E4EA">
      <w:start w:val="1"/>
      <w:numFmt w:val="lowerLetter"/>
      <w:lvlText w:val="%2)"/>
      <w:lvlJc w:val="left"/>
      <w:pPr>
        <w:ind w:left="2148" w:hanging="360"/>
      </w:pPr>
      <w:rPr>
        <w:b/>
        <w:bCs/>
      </w:rPr>
    </w:lvl>
    <w:lvl w:ilvl="2" w:tplc="21A4EDCC">
      <w:numFmt w:val="bullet"/>
      <w:lvlText w:val="•"/>
      <w:lvlJc w:val="left"/>
      <w:pPr>
        <w:ind w:left="2868" w:hanging="360"/>
      </w:pPr>
      <w:rPr>
        <w:rFonts w:ascii="Calibri" w:eastAsiaTheme="minorHAnsi" w:hAnsi="Calibri" w:cs="Arial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19475738">
    <w:abstractNumId w:val="3"/>
  </w:num>
  <w:num w:numId="2" w16cid:durableId="1996954323">
    <w:abstractNumId w:val="5"/>
  </w:num>
  <w:num w:numId="3" w16cid:durableId="1574849345">
    <w:abstractNumId w:val="4"/>
  </w:num>
  <w:num w:numId="4" w16cid:durableId="1506046122">
    <w:abstractNumId w:val="2"/>
  </w:num>
  <w:num w:numId="5" w16cid:durableId="1300069714">
    <w:abstractNumId w:val="0"/>
  </w:num>
  <w:num w:numId="6" w16cid:durableId="88810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1D"/>
    <w:rsid w:val="000025DF"/>
    <w:rsid w:val="00012355"/>
    <w:rsid w:val="00012C68"/>
    <w:rsid w:val="0001369C"/>
    <w:rsid w:val="00016FFC"/>
    <w:rsid w:val="000236FB"/>
    <w:rsid w:val="000512BB"/>
    <w:rsid w:val="0006284C"/>
    <w:rsid w:val="0006581D"/>
    <w:rsid w:val="00096CDF"/>
    <w:rsid w:val="00097C2C"/>
    <w:rsid w:val="000A1933"/>
    <w:rsid w:val="000B7E54"/>
    <w:rsid w:val="000C0FF5"/>
    <w:rsid w:val="000C2549"/>
    <w:rsid w:val="000D35DB"/>
    <w:rsid w:val="000D5EB8"/>
    <w:rsid w:val="000E0BDE"/>
    <w:rsid w:val="000E516D"/>
    <w:rsid w:val="000E6B82"/>
    <w:rsid w:val="00110FC5"/>
    <w:rsid w:val="0011205A"/>
    <w:rsid w:val="00117349"/>
    <w:rsid w:val="00117EAE"/>
    <w:rsid w:val="001260EF"/>
    <w:rsid w:val="0013063A"/>
    <w:rsid w:val="00140DB7"/>
    <w:rsid w:val="001506A7"/>
    <w:rsid w:val="001626B5"/>
    <w:rsid w:val="0016349F"/>
    <w:rsid w:val="00166F68"/>
    <w:rsid w:val="00170701"/>
    <w:rsid w:val="001876A2"/>
    <w:rsid w:val="00194403"/>
    <w:rsid w:val="001A6339"/>
    <w:rsid w:val="001B3723"/>
    <w:rsid w:val="001C0E95"/>
    <w:rsid w:val="001C3CFF"/>
    <w:rsid w:val="001D2F88"/>
    <w:rsid w:val="001D41FC"/>
    <w:rsid w:val="001D7438"/>
    <w:rsid w:val="001E0E1D"/>
    <w:rsid w:val="001E3053"/>
    <w:rsid w:val="001E39FA"/>
    <w:rsid w:val="001F0068"/>
    <w:rsid w:val="001F14F0"/>
    <w:rsid w:val="00201F82"/>
    <w:rsid w:val="0020217D"/>
    <w:rsid w:val="00202600"/>
    <w:rsid w:val="00212C1B"/>
    <w:rsid w:val="00220391"/>
    <w:rsid w:val="00223C16"/>
    <w:rsid w:val="00224011"/>
    <w:rsid w:val="00234242"/>
    <w:rsid w:val="002350AB"/>
    <w:rsid w:val="0023746D"/>
    <w:rsid w:val="00241359"/>
    <w:rsid w:val="00267A22"/>
    <w:rsid w:val="0029247C"/>
    <w:rsid w:val="002A61CD"/>
    <w:rsid w:val="002B16A4"/>
    <w:rsid w:val="002B5FA1"/>
    <w:rsid w:val="002C3E36"/>
    <w:rsid w:val="002D2A93"/>
    <w:rsid w:val="002D5CC4"/>
    <w:rsid w:val="002F630A"/>
    <w:rsid w:val="002F6594"/>
    <w:rsid w:val="002F7252"/>
    <w:rsid w:val="00302AB9"/>
    <w:rsid w:val="003057BC"/>
    <w:rsid w:val="0032101B"/>
    <w:rsid w:val="0032786F"/>
    <w:rsid w:val="00331A5C"/>
    <w:rsid w:val="00333CC9"/>
    <w:rsid w:val="00362F78"/>
    <w:rsid w:val="003805F4"/>
    <w:rsid w:val="00387641"/>
    <w:rsid w:val="003879E8"/>
    <w:rsid w:val="00390A9C"/>
    <w:rsid w:val="00394CDE"/>
    <w:rsid w:val="003A12F6"/>
    <w:rsid w:val="003C0742"/>
    <w:rsid w:val="003C0B32"/>
    <w:rsid w:val="003C18AD"/>
    <w:rsid w:val="003C3B18"/>
    <w:rsid w:val="003C3D6E"/>
    <w:rsid w:val="003C62F2"/>
    <w:rsid w:val="003D16EE"/>
    <w:rsid w:val="003D452C"/>
    <w:rsid w:val="003E6DFF"/>
    <w:rsid w:val="003F4744"/>
    <w:rsid w:val="00400B58"/>
    <w:rsid w:val="00404F6D"/>
    <w:rsid w:val="004132F3"/>
    <w:rsid w:val="00425368"/>
    <w:rsid w:val="00437752"/>
    <w:rsid w:val="0044499F"/>
    <w:rsid w:val="0045277F"/>
    <w:rsid w:val="00454AF6"/>
    <w:rsid w:val="00457AEB"/>
    <w:rsid w:val="00466A83"/>
    <w:rsid w:val="004704AA"/>
    <w:rsid w:val="0047084A"/>
    <w:rsid w:val="00471873"/>
    <w:rsid w:val="00483FC4"/>
    <w:rsid w:val="00487866"/>
    <w:rsid w:val="00491736"/>
    <w:rsid w:val="00497C56"/>
    <w:rsid w:val="00497D9E"/>
    <w:rsid w:val="004A2FF5"/>
    <w:rsid w:val="004A3F05"/>
    <w:rsid w:val="004D5496"/>
    <w:rsid w:val="004D7229"/>
    <w:rsid w:val="004E1BCC"/>
    <w:rsid w:val="004E2240"/>
    <w:rsid w:val="004E5C43"/>
    <w:rsid w:val="004E78A3"/>
    <w:rsid w:val="004F569F"/>
    <w:rsid w:val="004F59B0"/>
    <w:rsid w:val="005009BF"/>
    <w:rsid w:val="005117A2"/>
    <w:rsid w:val="00516C5D"/>
    <w:rsid w:val="00517899"/>
    <w:rsid w:val="005215DD"/>
    <w:rsid w:val="005402E5"/>
    <w:rsid w:val="00542C6D"/>
    <w:rsid w:val="00551DFF"/>
    <w:rsid w:val="00551E6E"/>
    <w:rsid w:val="00553103"/>
    <w:rsid w:val="005534E5"/>
    <w:rsid w:val="00554C5E"/>
    <w:rsid w:val="00557C85"/>
    <w:rsid w:val="00557DB3"/>
    <w:rsid w:val="00563D0D"/>
    <w:rsid w:val="00565E1D"/>
    <w:rsid w:val="00571A88"/>
    <w:rsid w:val="005739ED"/>
    <w:rsid w:val="005A1ADE"/>
    <w:rsid w:val="005A3B9D"/>
    <w:rsid w:val="005A47DD"/>
    <w:rsid w:val="005A72E2"/>
    <w:rsid w:val="005C41B5"/>
    <w:rsid w:val="005E23B9"/>
    <w:rsid w:val="005F30C1"/>
    <w:rsid w:val="005F71A4"/>
    <w:rsid w:val="00607175"/>
    <w:rsid w:val="00625A7F"/>
    <w:rsid w:val="006355A7"/>
    <w:rsid w:val="00641644"/>
    <w:rsid w:val="00643C27"/>
    <w:rsid w:val="00656ED8"/>
    <w:rsid w:val="00672BCF"/>
    <w:rsid w:val="00673044"/>
    <w:rsid w:val="00677A3F"/>
    <w:rsid w:val="00686A5D"/>
    <w:rsid w:val="00687489"/>
    <w:rsid w:val="006874BF"/>
    <w:rsid w:val="006976E5"/>
    <w:rsid w:val="006A5033"/>
    <w:rsid w:val="006A5593"/>
    <w:rsid w:val="006C1378"/>
    <w:rsid w:val="006D7321"/>
    <w:rsid w:val="006E3F41"/>
    <w:rsid w:val="00716C25"/>
    <w:rsid w:val="00722742"/>
    <w:rsid w:val="0072290C"/>
    <w:rsid w:val="007229C8"/>
    <w:rsid w:val="0073098E"/>
    <w:rsid w:val="00740AA7"/>
    <w:rsid w:val="007469E7"/>
    <w:rsid w:val="00753AD5"/>
    <w:rsid w:val="00755FB5"/>
    <w:rsid w:val="0076214C"/>
    <w:rsid w:val="00762B22"/>
    <w:rsid w:val="0076610B"/>
    <w:rsid w:val="0077595D"/>
    <w:rsid w:val="00780A94"/>
    <w:rsid w:val="007970F7"/>
    <w:rsid w:val="007A79FF"/>
    <w:rsid w:val="007B34A2"/>
    <w:rsid w:val="007B36E5"/>
    <w:rsid w:val="007B7FE4"/>
    <w:rsid w:val="007C6B7C"/>
    <w:rsid w:val="007C7E39"/>
    <w:rsid w:val="007D0D65"/>
    <w:rsid w:val="007D24E8"/>
    <w:rsid w:val="007F0F23"/>
    <w:rsid w:val="007F1829"/>
    <w:rsid w:val="007F54FC"/>
    <w:rsid w:val="00807DF0"/>
    <w:rsid w:val="0083206E"/>
    <w:rsid w:val="00854EF8"/>
    <w:rsid w:val="008618B6"/>
    <w:rsid w:val="00865CF3"/>
    <w:rsid w:val="008665EB"/>
    <w:rsid w:val="00877265"/>
    <w:rsid w:val="00887B5F"/>
    <w:rsid w:val="00894588"/>
    <w:rsid w:val="008A25B7"/>
    <w:rsid w:val="008A6918"/>
    <w:rsid w:val="008A6AFA"/>
    <w:rsid w:val="008B5F38"/>
    <w:rsid w:val="008C0E60"/>
    <w:rsid w:val="008C2497"/>
    <w:rsid w:val="008D180C"/>
    <w:rsid w:val="008D5A98"/>
    <w:rsid w:val="008D710F"/>
    <w:rsid w:val="008E30AB"/>
    <w:rsid w:val="008E5831"/>
    <w:rsid w:val="008E6400"/>
    <w:rsid w:val="008E7387"/>
    <w:rsid w:val="008E7926"/>
    <w:rsid w:val="00904F48"/>
    <w:rsid w:val="00913761"/>
    <w:rsid w:val="00913B90"/>
    <w:rsid w:val="00913B94"/>
    <w:rsid w:val="009140E8"/>
    <w:rsid w:val="0093293C"/>
    <w:rsid w:val="00943382"/>
    <w:rsid w:val="00947AB0"/>
    <w:rsid w:val="00956FA4"/>
    <w:rsid w:val="00960527"/>
    <w:rsid w:val="00973052"/>
    <w:rsid w:val="009759D8"/>
    <w:rsid w:val="00976647"/>
    <w:rsid w:val="009822FD"/>
    <w:rsid w:val="00982A8C"/>
    <w:rsid w:val="00987C27"/>
    <w:rsid w:val="00997073"/>
    <w:rsid w:val="009A6BE4"/>
    <w:rsid w:val="009A6FE9"/>
    <w:rsid w:val="009B5173"/>
    <w:rsid w:val="009D3B76"/>
    <w:rsid w:val="009D4C03"/>
    <w:rsid w:val="009D4D4C"/>
    <w:rsid w:val="009D64C4"/>
    <w:rsid w:val="009D6EA4"/>
    <w:rsid w:val="009F2E38"/>
    <w:rsid w:val="00A46CCF"/>
    <w:rsid w:val="00A51510"/>
    <w:rsid w:val="00A53791"/>
    <w:rsid w:val="00A53C71"/>
    <w:rsid w:val="00A57E0E"/>
    <w:rsid w:val="00A635C7"/>
    <w:rsid w:val="00A71F6E"/>
    <w:rsid w:val="00A748BB"/>
    <w:rsid w:val="00A755E5"/>
    <w:rsid w:val="00A76F65"/>
    <w:rsid w:val="00A77171"/>
    <w:rsid w:val="00A95EA1"/>
    <w:rsid w:val="00AC6411"/>
    <w:rsid w:val="00AD1623"/>
    <w:rsid w:val="00AD1724"/>
    <w:rsid w:val="00AE28A0"/>
    <w:rsid w:val="00AF3F77"/>
    <w:rsid w:val="00AF7049"/>
    <w:rsid w:val="00B02A6B"/>
    <w:rsid w:val="00B04DE4"/>
    <w:rsid w:val="00B06EFB"/>
    <w:rsid w:val="00B20101"/>
    <w:rsid w:val="00B27044"/>
    <w:rsid w:val="00B40058"/>
    <w:rsid w:val="00B40849"/>
    <w:rsid w:val="00B4338F"/>
    <w:rsid w:val="00B46A34"/>
    <w:rsid w:val="00B56468"/>
    <w:rsid w:val="00B606CA"/>
    <w:rsid w:val="00B71B14"/>
    <w:rsid w:val="00B938F5"/>
    <w:rsid w:val="00B97732"/>
    <w:rsid w:val="00BA1E54"/>
    <w:rsid w:val="00BA315D"/>
    <w:rsid w:val="00BC3713"/>
    <w:rsid w:val="00BD5706"/>
    <w:rsid w:val="00BE2B36"/>
    <w:rsid w:val="00BE36D5"/>
    <w:rsid w:val="00C238BB"/>
    <w:rsid w:val="00C33FD8"/>
    <w:rsid w:val="00C34F6C"/>
    <w:rsid w:val="00C375D5"/>
    <w:rsid w:val="00C375F5"/>
    <w:rsid w:val="00C43665"/>
    <w:rsid w:val="00C47D05"/>
    <w:rsid w:val="00C50318"/>
    <w:rsid w:val="00C50461"/>
    <w:rsid w:val="00C634B0"/>
    <w:rsid w:val="00C657F6"/>
    <w:rsid w:val="00C666A3"/>
    <w:rsid w:val="00C6752A"/>
    <w:rsid w:val="00C70B85"/>
    <w:rsid w:val="00C72841"/>
    <w:rsid w:val="00C75036"/>
    <w:rsid w:val="00C77725"/>
    <w:rsid w:val="00C83BBD"/>
    <w:rsid w:val="00C87382"/>
    <w:rsid w:val="00C917FA"/>
    <w:rsid w:val="00C976E8"/>
    <w:rsid w:val="00CA3361"/>
    <w:rsid w:val="00CA663B"/>
    <w:rsid w:val="00CD16BC"/>
    <w:rsid w:val="00CD34B7"/>
    <w:rsid w:val="00CD6E81"/>
    <w:rsid w:val="00CE5792"/>
    <w:rsid w:val="00CE6116"/>
    <w:rsid w:val="00CF1996"/>
    <w:rsid w:val="00CF2E6D"/>
    <w:rsid w:val="00CF6990"/>
    <w:rsid w:val="00CF7C81"/>
    <w:rsid w:val="00D05FC1"/>
    <w:rsid w:val="00D05FD2"/>
    <w:rsid w:val="00D3321D"/>
    <w:rsid w:val="00D52163"/>
    <w:rsid w:val="00D56779"/>
    <w:rsid w:val="00D64727"/>
    <w:rsid w:val="00D738E7"/>
    <w:rsid w:val="00D81F33"/>
    <w:rsid w:val="00D87AFD"/>
    <w:rsid w:val="00D96232"/>
    <w:rsid w:val="00DA0950"/>
    <w:rsid w:val="00DA2D8B"/>
    <w:rsid w:val="00DB0E53"/>
    <w:rsid w:val="00DB2B37"/>
    <w:rsid w:val="00DB36B9"/>
    <w:rsid w:val="00DD19A1"/>
    <w:rsid w:val="00DD344E"/>
    <w:rsid w:val="00DD5190"/>
    <w:rsid w:val="00DD5CAC"/>
    <w:rsid w:val="00DF211C"/>
    <w:rsid w:val="00E0581B"/>
    <w:rsid w:val="00E0790D"/>
    <w:rsid w:val="00E14D16"/>
    <w:rsid w:val="00E205D3"/>
    <w:rsid w:val="00E2576A"/>
    <w:rsid w:val="00E27698"/>
    <w:rsid w:val="00E354D9"/>
    <w:rsid w:val="00E37323"/>
    <w:rsid w:val="00E4613E"/>
    <w:rsid w:val="00E527B5"/>
    <w:rsid w:val="00E6220B"/>
    <w:rsid w:val="00E76016"/>
    <w:rsid w:val="00E96F8F"/>
    <w:rsid w:val="00ED5FF3"/>
    <w:rsid w:val="00EF2CCE"/>
    <w:rsid w:val="00F02078"/>
    <w:rsid w:val="00F0309E"/>
    <w:rsid w:val="00F03C05"/>
    <w:rsid w:val="00F164F7"/>
    <w:rsid w:val="00F16DAC"/>
    <w:rsid w:val="00F21B68"/>
    <w:rsid w:val="00F21ED4"/>
    <w:rsid w:val="00F255FB"/>
    <w:rsid w:val="00F27B54"/>
    <w:rsid w:val="00F32556"/>
    <w:rsid w:val="00F34A0D"/>
    <w:rsid w:val="00F50E81"/>
    <w:rsid w:val="00F636BA"/>
    <w:rsid w:val="00F71053"/>
    <w:rsid w:val="00F715BF"/>
    <w:rsid w:val="00F73A1D"/>
    <w:rsid w:val="00F75FEC"/>
    <w:rsid w:val="00F76827"/>
    <w:rsid w:val="00F76C64"/>
    <w:rsid w:val="00F80455"/>
    <w:rsid w:val="00F97B16"/>
    <w:rsid w:val="00FA3CA1"/>
    <w:rsid w:val="00FA79E0"/>
    <w:rsid w:val="00FD0EF0"/>
    <w:rsid w:val="00FD4A3E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33B93"/>
  <w15:docId w15:val="{039ADC53-E540-4B1C-B258-FB2DD50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6581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6581D"/>
  </w:style>
  <w:style w:type="paragraph" w:styleId="Rodap">
    <w:name w:val="footer"/>
    <w:basedOn w:val="Normal"/>
    <w:link w:val="RodapChar"/>
    <w:uiPriority w:val="99"/>
    <w:unhideWhenUsed/>
    <w:rsid w:val="0006581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6581D"/>
  </w:style>
  <w:style w:type="character" w:styleId="Nmerodelinha">
    <w:name w:val="line number"/>
    <w:basedOn w:val="Fontepargpadro"/>
    <w:uiPriority w:val="99"/>
    <w:semiHidden/>
    <w:unhideWhenUsed/>
    <w:rsid w:val="005117A2"/>
  </w:style>
  <w:style w:type="paragraph" w:styleId="PargrafodaLista">
    <w:name w:val="List Paragraph"/>
    <w:basedOn w:val="Normal"/>
    <w:uiPriority w:val="34"/>
    <w:qFormat/>
    <w:rsid w:val="007309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msonormal">
    <w:name w:val="x_msonormal"/>
    <w:basedOn w:val="Normal"/>
    <w:rsid w:val="00437752"/>
    <w:pPr>
      <w:spacing w:after="0" w:line="240" w:lineRule="auto"/>
    </w:pPr>
    <w:rPr>
      <w:rFonts w:eastAsiaTheme="minorHAnsi" w:cs="Calibri"/>
      <w:lang w:eastAsia="pt-BR"/>
    </w:rPr>
  </w:style>
  <w:style w:type="table" w:styleId="Tabelacomgrade">
    <w:name w:val="Table Grid"/>
    <w:basedOn w:val="Tabelanormal"/>
    <w:uiPriority w:val="39"/>
    <w:rsid w:val="0023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76E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40DB7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2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7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9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2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0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6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15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5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D0E1-3661-4E82-94D6-7CE20CCF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Verônica de Lima</dc:creator>
  <cp:keywords/>
  <dc:description/>
  <cp:lastModifiedBy>Laura Esteves Furbino</cp:lastModifiedBy>
  <cp:revision>2</cp:revision>
  <cp:lastPrinted>2023-11-24T17:15:00Z</cp:lastPrinted>
  <dcterms:created xsi:type="dcterms:W3CDTF">2025-03-18T13:20:00Z</dcterms:created>
  <dcterms:modified xsi:type="dcterms:W3CDTF">2025-03-18T13:20:00Z</dcterms:modified>
</cp:coreProperties>
</file>